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914424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Ажмухамедов</w:t>
            </w:r>
            <w:proofErr w:type="spellEnd"/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424" w:rsidRPr="00914424" w:rsidRDefault="00914424" w:rsidP="0091442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b/>
                <w:bCs/>
              </w:rPr>
            </w:pPr>
            <w:r w:rsidRPr="00914424">
              <w:rPr>
                <w:b/>
                <w:bCs/>
              </w:rPr>
              <w:t>27.06.01 Управление в технических системах.</w:t>
            </w:r>
          </w:p>
          <w:p w:rsidR="009C477A" w:rsidRDefault="009C477A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</w:pPr>
          </w:p>
        </w:tc>
      </w:tr>
      <w:tr w:rsidR="00D85AF3" w:rsidRPr="00914424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424" w:rsidRPr="00914424" w:rsidRDefault="00914424" w:rsidP="0091442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914424">
              <w:rPr>
                <w:b/>
                <w:bCs/>
              </w:rPr>
              <w:t>Управление в социальных и экономических системах</w:t>
            </w:r>
          </w:p>
          <w:p w:rsidR="00691766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691766">
              <w:rPr>
                <w:b/>
                <w:bCs/>
              </w:rPr>
              <w:t> 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914424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14424" w:rsidRDefault="00914424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914424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914424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914424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914424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FD" w:rsidRDefault="00564CFD">
      <w:r>
        <w:separator/>
      </w:r>
    </w:p>
  </w:endnote>
  <w:endnote w:type="continuationSeparator" w:id="0">
    <w:p w:rsidR="00564CFD" w:rsidRDefault="0056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FD" w:rsidRDefault="00564CFD">
      <w:r>
        <w:separator/>
      </w:r>
    </w:p>
  </w:footnote>
  <w:footnote w:type="continuationSeparator" w:id="0">
    <w:p w:rsidR="00564CFD" w:rsidRDefault="0056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594E7222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76CB5C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662C82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44EBE4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8C1AA8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B07C84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F2CF3E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34B0EC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02080C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9596176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3A7C7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C8DB8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1EDDC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94F10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1AB5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D678A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01D4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900B0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9596176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3A7C7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C8DB8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1EDDC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94F10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1AB53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D678A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01D4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900B0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594E722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76CB5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62C82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44EBE4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8C1AA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B07C84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2CF3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34B0EC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02080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95961766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3A7C70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C8DB88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1EDDC8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94F104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1AB53C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D678A8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01D4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900B0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B272E"/>
    <w:rsid w:val="0040651D"/>
    <w:rsid w:val="005168AD"/>
    <w:rsid w:val="00564CFD"/>
    <w:rsid w:val="00691766"/>
    <w:rsid w:val="00716611"/>
    <w:rsid w:val="007959DA"/>
    <w:rsid w:val="007F3E52"/>
    <w:rsid w:val="00914424"/>
    <w:rsid w:val="009C477A"/>
    <w:rsid w:val="009D0297"/>
    <w:rsid w:val="00AF6722"/>
    <w:rsid w:val="00CF3B7A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2020-12-09T12:24:00Z</dcterms:created>
  <dcterms:modified xsi:type="dcterms:W3CDTF">2020-12-09T12:24:00Z</dcterms:modified>
</cp:coreProperties>
</file>