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9E2288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DA784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Б.В.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</w:rPr>
              <w:t>Кайгородов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</w:t>
            </w:r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CD64E2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  <w:bookmarkStart w:id="0" w:name="_GoBack"/>
            <w:bookmarkEnd w:id="0"/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9E2288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9E2288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A2389E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071" w:rsidRPr="008A7071" w:rsidRDefault="008A7071" w:rsidP="008A707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 w:rsidRPr="008A7071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 </w:t>
            </w:r>
          </w:p>
          <w:p w:rsidR="00DA7844" w:rsidRPr="00DA7844" w:rsidRDefault="00DA7844" w:rsidP="00DA784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b/>
                <w:bCs/>
                <w:lang w:val="ru-RU"/>
              </w:rPr>
            </w:pPr>
            <w:r w:rsidRPr="00DA7844">
              <w:rPr>
                <w:b/>
                <w:bCs/>
                <w:lang w:val="ru-RU"/>
              </w:rPr>
              <w:t xml:space="preserve">37.06.01 Психологические науки. </w:t>
            </w:r>
          </w:p>
          <w:p w:rsidR="0021672E" w:rsidRPr="008A7071" w:rsidRDefault="00A2389E" w:rsidP="00A2389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  <w:r w:rsidRPr="00A2389E">
              <w:rPr>
                <w:b/>
                <w:bCs/>
                <w:lang w:val="ru-RU"/>
              </w:rPr>
              <w:t xml:space="preserve"> </w:t>
            </w:r>
          </w:p>
        </w:tc>
      </w:tr>
      <w:tr w:rsidR="0021672E" w:rsidRPr="00A2389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8A7071" w:rsidRDefault="00DA784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 w:rsidRPr="00DA7844">
              <w:rPr>
                <w:b/>
                <w:bCs/>
                <w:u w:color="000000"/>
                <w:lang w:val="en-US"/>
              </w:rPr>
              <w:t>Психология</w:t>
            </w:r>
            <w:proofErr w:type="spellEnd"/>
            <w:r w:rsidRPr="00DA7844">
              <w:rPr>
                <w:b/>
                <w:bCs/>
                <w:u w:color="000000"/>
                <w:lang w:val="en-US"/>
              </w:rPr>
              <w:t xml:space="preserve"> </w:t>
            </w:r>
            <w:proofErr w:type="spellStart"/>
            <w:r w:rsidRPr="00DA7844">
              <w:rPr>
                <w:b/>
                <w:bCs/>
                <w:u w:color="000000"/>
                <w:lang w:val="en-US"/>
              </w:rPr>
              <w:t>развития</w:t>
            </w:r>
            <w:proofErr w:type="spellEnd"/>
            <w:r w:rsidRPr="00DA7844">
              <w:rPr>
                <w:b/>
                <w:bCs/>
                <w:u w:color="000000"/>
                <w:lang w:val="en-US"/>
              </w:rPr>
              <w:t xml:space="preserve">, акмеология 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 w:rsidP="00DA784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9E2288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9E2288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lastRenderedPageBreak/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4. СТРУКТУРА И СОДЕРЖАНИЕ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Таблица 2. </w:t>
      </w: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Структура и содержание дисциплины (модуля)</w:t>
      </w:r>
    </w:p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1"/>
        <w:gridCol w:w="3494"/>
        <w:gridCol w:w="657"/>
        <w:gridCol w:w="572"/>
        <w:gridCol w:w="609"/>
        <w:gridCol w:w="605"/>
        <w:gridCol w:w="610"/>
        <w:gridCol w:w="663"/>
        <w:gridCol w:w="1604"/>
      </w:tblGrid>
      <w:tr w:rsidR="0021672E" w:rsidRPr="009E2288" w:rsidTr="00CD64E2">
        <w:trPr>
          <w:trHeight w:val="895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Наименование радела, темы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Семестр</w:t>
            </w:r>
          </w:p>
        </w:tc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Неделя семестра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Контактная работа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(в часах)</w:t>
            </w: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Самостоят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. </w:t>
            </w:r>
          </w:p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текущего контроля успеваемости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темам)</w:t>
            </w:r>
          </w:p>
          <w:p w:rsidR="0021672E" w:rsidRDefault="0021672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</w:p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Форма промежуточной аттестации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семестрам)</w:t>
            </w:r>
          </w:p>
        </w:tc>
      </w:tr>
      <w:tr w:rsidR="0021672E" w:rsidTr="00CD64E2">
        <w:trPr>
          <w:trHeight w:val="2240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3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ПЗ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ЛР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672E" w:rsidRDefault="0021672E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2E" w:rsidRDefault="0021672E"/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Экономическая глобализация и проблемы национальной и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международной безопасности.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2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8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295"/>
        </w:trPr>
        <w:tc>
          <w:tcPr>
            <w:tcW w:w="4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12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ЗАЧЕТ</w:t>
            </w:r>
          </w:p>
        </w:tc>
      </w:tr>
    </w:tbl>
    <w:p w:rsidR="0021672E" w:rsidRDefault="0021672E">
      <w:pPr>
        <w:pStyle w:val="a7"/>
        <w:widowControl w:val="0"/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21672E" w:rsidRDefault="0021672E">
      <w:pPr>
        <w:pStyle w:val="a7"/>
        <w:rPr>
          <w:rFonts w:hint="eastAsia"/>
          <w:u w:color="000000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3.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 xml:space="preserve">Матрица соотнесения разделов, тем учебной дисциплины (модуля)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>и формируемых в них компетенций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tbl>
      <w:tblPr>
        <w:tblStyle w:val="TableNormal"/>
        <w:tblW w:w="94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48"/>
        <w:gridCol w:w="1390"/>
        <w:gridCol w:w="870"/>
        <w:gridCol w:w="1535"/>
      </w:tblGrid>
      <w:tr w:rsidR="0021672E">
        <w:trPr>
          <w:trHeight w:val="320"/>
          <w:jc w:val="center"/>
        </w:trPr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:lang w:val="ru-RU"/>
              </w:rPr>
              <w:t>Темы,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разделы</w:t>
            </w:r>
            <w:proofErr w:type="gramEnd"/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дисциплины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Кол</w:t>
            </w:r>
            <w:r>
              <w:rPr>
                <w:rFonts w:cs="Arial Unicode MS"/>
                <w:color w:val="000000"/>
                <w:u w:color="000000"/>
              </w:rPr>
              <w:t>-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Компетенции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общее количество компетенций</w:t>
            </w:r>
          </w:p>
        </w:tc>
      </w:tr>
      <w:tr w:rsidR="0021672E">
        <w:trPr>
          <w:trHeight w:val="6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Тема 4.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3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</w:tr>
    </w:tbl>
    <w:p w:rsidR="0021672E" w:rsidRDefault="0021672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numPr>
          <w:ilvl w:val="0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Экономическая глобализация и проблемы национальной и международной безопасности.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эффективности участия национальной экономики в глобализации мировой экономики. Ведущие интеграционные объединения мира: успехи, </w:t>
      </w:r>
      <w:proofErr w:type="gramStart"/>
      <w:r>
        <w:rPr>
          <w:rFonts w:cs="Arial Unicode MS"/>
          <w:color w:val="000000"/>
          <w:u w:color="000000"/>
          <w:lang w:val="ru-RU"/>
        </w:rPr>
        <w:t>проблемы,  вызовы</w:t>
      </w:r>
      <w:proofErr w:type="gramEnd"/>
      <w:r>
        <w:rPr>
          <w:rFonts w:cs="Arial Unicode MS"/>
          <w:color w:val="000000"/>
          <w:u w:color="000000"/>
          <w:lang w:val="ru-RU"/>
        </w:rPr>
        <w:t>, решения.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Закономерности функционирования экономики. Переходные процессы. Принципы принятия и реализации экономических и управленческих решений.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1"/>
          <w:numId w:val="3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 xml:space="preserve">Возможности использования инструментов государственного регулирования экономики.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Формирование институциональных условий предпринимательства. Создание конкурентной рыночной среды. Антимонопольная политика. Методы экономического анализа информации. 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Проблемы повышения производительности труда и экономического роста.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cs="Arial Unicode MS"/>
          <w:color w:val="000000"/>
          <w:u w:color="000000"/>
          <w:lang w:val="ru-RU"/>
        </w:rPr>
        <w:t>антициклическая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политика. Принципы эффективности экономических решений. Специфика поведения экономических агентов. 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Дифференциация доходов, особенности миграционных процессов в условиях глобализации экономики.</w:t>
      </w:r>
    </w:p>
    <w:p w:rsidR="0021672E" w:rsidRDefault="009B4AEE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5. ПЕРЕЧЕНЬ УЧЕБНО-МЕТОДИЧЕСКОГО ОБЕСПЕЧЕНИЯ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ДЛЯ САМОСТОЯТЕЛЬНОЙ РАБОТЫ ОБУЧАЮЩИХСЯ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5.1.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компетентностного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подхода предусматривается использование в учебном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процессе  в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рамках данной дисциплины лекционных занятий с использованием презентации. 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5.2.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для обучающихся по освоению дисциплины (модулю)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4.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21672E">
        <w:trPr>
          <w:trHeight w:val="64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Кол-во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работы </w:t>
            </w:r>
          </w:p>
        </w:tc>
      </w:tr>
      <w:tr w:rsidR="0021672E">
        <w:trPr>
          <w:trHeight w:val="12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Сущность и основные показатели экономической безопасности. 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антициклическая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250" w:hanging="250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="00EB2F9B" w:rsidRPr="00EB2F9B">
        <w:rPr>
          <w:lang w:val="ru-RU"/>
        </w:rPr>
        <w:lastRenderedPageBreak/>
        <w:t xml:space="preserve">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9E2288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lastRenderedPageBreak/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</w:t>
      </w:r>
      <w:r>
        <w:rPr>
          <w:rStyle w:val="a8"/>
          <w:rFonts w:cs="Arial Unicode MS"/>
          <w:color w:val="000000"/>
          <w:u w:color="000000"/>
          <w:lang w:val="ru-RU"/>
        </w:rPr>
        <w:lastRenderedPageBreak/>
        <w:t>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25E" w:rsidRDefault="00FC625E">
      <w:r>
        <w:separator/>
      </w:r>
    </w:p>
  </w:endnote>
  <w:endnote w:type="continuationSeparator" w:id="0">
    <w:p w:rsidR="00FC625E" w:rsidRDefault="00FC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25E" w:rsidRDefault="00FC625E">
      <w:r>
        <w:separator/>
      </w:r>
    </w:p>
  </w:footnote>
  <w:footnote w:type="continuationSeparator" w:id="0">
    <w:p w:rsidR="00FC625E" w:rsidRDefault="00FC6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7343DF"/>
    <w:multiLevelType w:val="hybridMultilevel"/>
    <w:tmpl w:val="2048EC96"/>
    <w:numStyleLink w:val="a"/>
  </w:abstractNum>
  <w:abstractNum w:abstractNumId="2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7271760"/>
    <w:multiLevelType w:val="hybridMultilevel"/>
    <w:tmpl w:val="13CE2386"/>
    <w:numStyleLink w:val="a0"/>
  </w:abstractNum>
  <w:num w:numId="1">
    <w:abstractNumId w:val="2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0">
      <w:startOverride w:val="1"/>
      <w:lvl w:ilvl="0" w:tplc="DC1484C0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E08A4C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26C1FC8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5ADB7E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5A6574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B67D58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149000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A474FE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6647B0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4"/>
    <w:lvlOverride w:ilvl="0">
      <w:lvl w:ilvl="0" w:tplc="13FC13B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72638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2CF53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12CA0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5A1A7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E27B6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D8B46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F2F74C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3823D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5"/>
      <w:lvl w:ilvl="0" w:tplc="DC1484C0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FE08A4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26C1FC8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45ADB7E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5A6574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B67D58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14900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A474FE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6647B0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0522E7"/>
    <w:rsid w:val="00114B78"/>
    <w:rsid w:val="00171249"/>
    <w:rsid w:val="0021672E"/>
    <w:rsid w:val="003C02E0"/>
    <w:rsid w:val="004C7BF4"/>
    <w:rsid w:val="008A7071"/>
    <w:rsid w:val="00961DAA"/>
    <w:rsid w:val="009B4AEE"/>
    <w:rsid w:val="009E2288"/>
    <w:rsid w:val="00A2389E"/>
    <w:rsid w:val="00A90D63"/>
    <w:rsid w:val="00CD64E2"/>
    <w:rsid w:val="00DA7844"/>
    <w:rsid w:val="00E86E9C"/>
    <w:rsid w:val="00EB2F9B"/>
    <w:rsid w:val="00F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4</cp:revision>
  <dcterms:created xsi:type="dcterms:W3CDTF">2021-03-18T12:12:00Z</dcterms:created>
  <dcterms:modified xsi:type="dcterms:W3CDTF">2021-04-22T05:58:00Z</dcterms:modified>
</cp:coreProperties>
</file>