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2.jpeg" ContentType="image/jpeg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МИНОБРНАУКИ РОССИИ</w:t>
      </w:r>
    </w:p>
    <w:p>
      <w:pPr>
        <w:pStyle w:val="Normal"/>
        <w:jc w:val="center"/>
        <w:rPr/>
      </w:pPr>
      <w:r>
        <w:rPr/>
        <w:t>АСТРАХАНСКИЙ ГОСУДАРСТВЕННЫЙ УНИВЕРСИТЕТ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71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5"/>
        <w:gridCol w:w="4645"/>
      </w:tblGrid>
      <w:tr>
        <w:trPr>
          <w:trHeight w:val="1373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52" w:before="0" w:after="160"/>
              <w:jc w:val="center"/>
              <w:rPr/>
            </w:pPr>
            <w:r>
              <w:rPr>
                <w:lang w:eastAsia="zh-CN"/>
              </w:rPr>
              <w:t>СОГЛАСОВАНО</w:t>
            </w:r>
          </w:p>
          <w:p>
            <w:pPr>
              <w:pStyle w:val="Normal"/>
              <w:suppressAutoHyphens w:val="true"/>
              <w:spacing w:lineRule="auto" w:line="252" w:before="0" w:after="160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margin">
                    <wp:posOffset>813435</wp:posOffset>
                  </wp:positionH>
                  <wp:positionV relativeFrom="paragraph">
                    <wp:posOffset>229870</wp:posOffset>
                  </wp:positionV>
                  <wp:extent cx="761365" cy="476250"/>
                  <wp:effectExtent l="0" t="0" r="0" b="0"/>
                  <wp:wrapNone/>
                  <wp:docPr id="1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4" t="-151" r="-94" b="-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zh-CN"/>
              </w:rPr>
              <w:t>Р</w:t>
            </w:r>
            <w:r>
              <w:rPr>
                <w:lang w:eastAsia="zh-CN"/>
              </w:rPr>
              <w:t>уководитель ОПОП</w:t>
            </w:r>
          </w:p>
          <w:p>
            <w:pPr>
              <w:pStyle w:val="Normal"/>
              <w:suppressAutoHyphens w:val="true"/>
              <w:spacing w:lineRule="auto" w:line="252" w:before="0" w:after="160"/>
              <w:jc w:val="right"/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52" w:before="0" w:after="160"/>
              <w:jc w:val="right"/>
              <w:rPr/>
            </w:pPr>
            <w:r>
              <w:rPr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_______________  </w:t>
            </w:r>
            <w:r>
              <w:rPr>
                <w:lang w:eastAsia="zh-CN"/>
              </w:rPr>
              <w:t>Б.М.Насибулина</w:t>
            </w:r>
          </w:p>
          <w:p>
            <w:pPr>
              <w:pStyle w:val="Normal"/>
              <w:suppressAutoHyphens w:val="true"/>
              <w:spacing w:lineRule="auto" w:line="252" w:before="0" w:after="160"/>
              <w:jc w:val="center"/>
              <w:rPr/>
            </w:pPr>
            <w:r>
              <w:rPr>
                <w:lang w:eastAsia="zh-CN"/>
              </w:rPr>
              <w:t>«02» июня 2020  г.</w:t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52" w:before="0" w:after="160"/>
              <w:jc w:val="right"/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52" w:before="0" w:after="160"/>
              <w:jc w:val="right"/>
              <w:rPr>
                <w:lang w:eastAsia="zh-CN"/>
              </w:rPr>
            </w:pPr>
            <w:r>
              <w:rPr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52" w:before="0" w:after="160"/>
              <w:jc w:val="right"/>
              <w:rPr>
                <w:lang w:eastAsia="zh-CN"/>
              </w:rPr>
            </w:pPr>
            <w:r>
              <w:rPr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52" w:before="0" w:after="160"/>
              <w:jc w:val="right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46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52" w:before="0" w:after="160"/>
              <w:jc w:val="center"/>
              <w:rPr/>
            </w:pPr>
            <w:r>
              <w:rPr>
                <w:lang w:eastAsia="zh-CN"/>
              </w:rPr>
              <w:t>УТВЕРЖДАЮ</w:t>
            </w:r>
          </w:p>
          <w:p>
            <w:pPr>
              <w:pStyle w:val="Normal"/>
              <w:suppressAutoHyphens w:val="true"/>
              <w:spacing w:lineRule="auto" w:line="252" w:before="0" w:after="160"/>
              <w:jc w:val="center"/>
              <w:rPr/>
            </w:pPr>
            <w:r>
              <w:rPr>
                <w:lang w:eastAsia="zh-CN"/>
              </w:rPr>
              <w:t>Заведующий кафедрой экологии, природопользования, землеустройства и безопасности жизнедеятельности</w:t>
            </w:r>
          </w:p>
          <w:p>
            <w:pPr>
              <w:pStyle w:val="Normal"/>
              <w:suppressAutoHyphens w:val="true"/>
              <w:spacing w:lineRule="auto" w:line="252" w:before="0" w:after="160"/>
              <w:jc w:val="right"/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-50800</wp:posOffset>
                  </wp:positionV>
                  <wp:extent cx="1019175" cy="476250"/>
                  <wp:effectExtent l="0" t="0" r="0" b="0"/>
                  <wp:wrapNone/>
                  <wp:docPr id="2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58" t="-76" r="-58" b="-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uppressAutoHyphens w:val="true"/>
              <w:spacing w:lineRule="auto" w:line="252" w:before="0" w:after="160"/>
              <w:jc w:val="right"/>
              <w:rPr/>
            </w:pPr>
            <w:r>
              <w:rPr>
                <w:lang w:eastAsia="zh-CN"/>
              </w:rPr>
              <w:t>__________________ Н.С.Шуваев</w:t>
            </w:r>
          </w:p>
          <w:p>
            <w:pPr>
              <w:pStyle w:val="Normal"/>
              <w:suppressAutoHyphens w:val="true"/>
              <w:spacing w:lineRule="auto" w:line="252" w:before="0" w:after="160"/>
              <w:jc w:val="center"/>
              <w:rPr/>
            </w:pPr>
            <w:r>
              <w:rPr>
                <w:lang w:eastAsia="zh-CN"/>
              </w:rPr>
              <w:t>«04» июня 2020  г.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ПРОГРАММА ПЕДАГОГИЧЕСКОЙ ПРАКТИКИ</w:t>
      </w:r>
    </w:p>
    <w:p>
      <w:pPr>
        <w:pStyle w:val="Normal"/>
        <w:jc w:val="center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83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5197"/>
      </w:tblGrid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Тип практики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Педагогическая 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Составитель(-и)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Насибулина Б.М., доцент, доктор биологических наук, профессор кафедры экологии, природопользования, землеустройства и БЖД 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Направление подготовки  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20.06.01 Техносферная безопасность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Направленность (профиль) ОПОП 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bookmarkStart w:id="0" w:name="__DdeLink__32703_577584703"/>
            <w:r>
              <w:rPr>
                <w:b/>
              </w:rPr>
              <w:t>Безопасность в чрезвычайных ситуациях (биологические науки)</w:t>
            </w:r>
            <w:bookmarkEnd w:id="0"/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Квалификация (степень)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Исследователь. Преподаватель-исследователь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Форма обучения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заочная  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Год приема 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Астрахань – 2020</w:t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1. ЦЕЛИ И ЗАДАЧИ ПРАКТИКИ</w:t>
      </w:r>
    </w:p>
    <w:p>
      <w:pPr>
        <w:pStyle w:val="Style29"/>
        <w:ind w:left="142" w:right="0" w:firstLine="567"/>
        <w:jc w:val="both"/>
        <w:rPr/>
      </w:pPr>
      <w:r>
        <w:rPr/>
        <w:t xml:space="preserve">1.1. </w:t>
      </w:r>
      <w:r>
        <w:rPr>
          <w:b/>
        </w:rPr>
        <w:t>Целями прохождения</w:t>
      </w:r>
      <w:r>
        <w:rPr/>
        <w:t xml:space="preserve"> педагогической практики является приобретение умений и навыков организации и ведения педагогической деятельности в высшей школы.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>
          <w:i/>
          <w:i/>
          <w:lang w:eastAsia="ar-SA"/>
        </w:rPr>
      </w:pPr>
      <w:r>
        <w:rPr>
          <w:i/>
          <w:lang w:eastAsia="ar-SA"/>
        </w:rPr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/>
      </w:pPr>
      <w:r>
        <w:rPr>
          <w:sz w:val="24"/>
          <w:szCs w:val="24"/>
        </w:rPr>
        <w:t xml:space="preserve">1.2. </w:t>
      </w:r>
      <w:r>
        <w:rPr>
          <w:b/>
          <w:sz w:val="24"/>
          <w:szCs w:val="24"/>
        </w:rPr>
        <w:t>Задачи прохождения</w:t>
      </w:r>
      <w:r>
        <w:rPr>
          <w:sz w:val="24"/>
          <w:szCs w:val="24"/>
        </w:rPr>
        <w:t xml:space="preserve"> педагогической практики 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/>
      </w:pPr>
      <w:r>
        <w:rPr>
          <w:sz w:val="24"/>
          <w:szCs w:val="24"/>
        </w:rPr>
        <w:t xml:space="preserve">закрепление знаний, умений и навыков, полученных аспирантами в процессе изучения дисциплин образовательной программы по направлению подготовки </w:t>
      </w:r>
      <w:r>
        <w:rPr>
          <w:b w:val="false"/>
          <w:bCs w:val="false"/>
          <w:sz w:val="24"/>
          <w:szCs w:val="24"/>
        </w:rPr>
        <w:t>20.06.01 «Техносферная безопасность»</w:t>
      </w:r>
      <w:r>
        <w:rPr>
          <w:sz w:val="24"/>
          <w:szCs w:val="24"/>
        </w:rPr>
        <w:t>, профилю подготовки «</w:t>
      </w:r>
      <w:r>
        <w:rPr>
          <w:b w:val="false"/>
          <w:bCs w:val="false"/>
          <w:sz w:val="24"/>
          <w:szCs w:val="24"/>
        </w:rPr>
        <w:t>Безопасность в чрезвычайных ситуациях (биологические науки);</w:t>
      </w:r>
      <w:r>
        <w:rPr>
          <w:sz w:val="24"/>
          <w:szCs w:val="24"/>
        </w:rPr>
        <w:t xml:space="preserve"> 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>
          <w:sz w:val="24"/>
          <w:szCs w:val="24"/>
        </w:rPr>
      </w:pPr>
      <w:r>
        <w:rPr>
          <w:sz w:val="24"/>
          <w:szCs w:val="24"/>
        </w:rPr>
        <w:t>активизация участия аспирантов в разработке учебных планов, образовательных программ и учебно-методических материалов на основе изучения научной, технической и научно-методической литературы, а также собственных результатов исследований;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обеспечение аспирантам условий для присутствия на аудиторных учебных занятиях студентов, научно-исследовательской работы со студентами, участия в заседаниях кафедры; 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развитие у аспирантов навыков применения инновационных образовательных технологий, 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>
          <w:sz w:val="24"/>
          <w:szCs w:val="24"/>
        </w:rPr>
      </w:pPr>
      <w:r>
        <w:rPr>
          <w:sz w:val="24"/>
          <w:szCs w:val="24"/>
        </w:rPr>
        <w:t>ознакомление с передовым педагогическим опытом в социально-культурной работе посредством общения и посещения разнообразных видов занятий педагогов профессионалов,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>
          <w:sz w:val="24"/>
          <w:szCs w:val="24"/>
        </w:rPr>
      </w:pPr>
      <w:r>
        <w:rPr>
          <w:sz w:val="24"/>
          <w:szCs w:val="24"/>
        </w:rPr>
        <w:t>совершенствование интеллектуальных способностей и коммуникативных умений в процессе педагогической деятельности,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>
          <w:sz w:val="24"/>
          <w:szCs w:val="24"/>
        </w:rPr>
      </w:pPr>
      <w:r>
        <w:rPr>
          <w:sz w:val="24"/>
          <w:szCs w:val="24"/>
        </w:rPr>
        <w:t>формирование навыков самовоспитания, самообразования, проектирование дальнейшего образовательного маршрута и профессиональной карьеры.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211"/>
        <w:tabs>
          <w:tab w:val="left" w:pos="851" w:leader="none"/>
        </w:tabs>
        <w:spacing w:lineRule="auto" w:line="240" w:before="0" w:after="0"/>
        <w:jc w:val="both"/>
        <w:rPr/>
      </w:pPr>
      <w:r>
        <w:rPr/>
        <w:tab/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2. ВИД ПРАКТИКИ, СПОСОБ, ФОРМЫ И МЕСТА ЕЕ ПРОВЕДЕНИЯ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 xml:space="preserve">2.1. </w:t>
      </w:r>
      <w:r>
        <w:rPr>
          <w:b/>
          <w:bCs/>
        </w:rPr>
        <w:t>Вид практики –</w:t>
      </w:r>
      <w:r>
        <w:rPr>
          <w:bCs/>
        </w:rPr>
        <w:t xml:space="preserve"> педагогическая практика</w:t>
      </w:r>
      <w:r>
        <w:rPr>
          <w:i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 xml:space="preserve">2.2. </w:t>
      </w:r>
      <w:r>
        <w:rPr>
          <w:b/>
          <w:bCs/>
        </w:rPr>
        <w:t>Способ проведения практики</w:t>
      </w:r>
      <w:r>
        <w:rPr>
          <w:bCs/>
        </w:rPr>
        <w:t xml:space="preserve"> – стационарная</w:t>
      </w:r>
    </w:p>
    <w:p>
      <w:pPr>
        <w:pStyle w:val="Normal"/>
        <w:ind w:left="0" w:right="0" w:firstLine="567"/>
        <w:jc w:val="both"/>
        <w:rPr/>
      </w:pPr>
      <w:r>
        <w:rPr>
          <w:bCs/>
        </w:rPr>
        <w:t xml:space="preserve">2.3. </w:t>
      </w:r>
      <w:r>
        <w:rPr>
          <w:b/>
          <w:bCs/>
        </w:rPr>
        <w:t>Форма проведения практики</w:t>
      </w:r>
      <w:r>
        <w:rPr>
          <w:bCs/>
        </w:rPr>
        <w:t xml:space="preserve"> – педагогическая практика организована дискретно: 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 xml:space="preserve">2.4. </w:t>
      </w:r>
      <w:r>
        <w:rPr>
          <w:b/>
          <w:bCs/>
        </w:rPr>
        <w:t>Места проведения практики</w:t>
      </w:r>
      <w:r>
        <w:rPr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>1.ФГБОУ ВО «Астраханский государственный университет», кафедра экологии, природопользовани, землеустройства и БЖД 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>
          <w:b/>
          <w:bCs/>
        </w:rPr>
        <w:t xml:space="preserve">3. </w:t>
      </w:r>
      <w:r>
        <w:rPr>
          <w:b/>
        </w:rPr>
        <w:t>ПЕРЕЧЕНЬ ПЛАНИРУЕМЫХ РЕЗУЛЬТАТОВ ОБУЧЕНИЯ ПО ПРАКТИКЕ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/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>
      <w:pPr>
        <w:pStyle w:val="Normal"/>
        <w:widowControl w:val="false"/>
        <w:ind w:left="0" w:right="0" w:firstLine="567"/>
        <w:rPr/>
      </w:pPr>
      <w:r>
        <w:rPr>
          <w:bCs/>
          <w:iCs/>
        </w:rPr>
        <w:t xml:space="preserve">а) универсальных (УК): </w:t>
      </w:r>
      <w:r>
        <w:rPr/>
        <w:t>УК-5</w:t>
      </w:r>
      <w:r>
        <w:rPr>
          <w:bCs/>
          <w:iCs/>
        </w:rPr>
        <w:t xml:space="preserve"> </w:t>
      </w:r>
      <w:r>
        <w:rPr>
          <w:rFonts w:ascii="Liberation Serif" w:hAnsi="Liberation Serif"/>
          <w:bCs/>
          <w:iCs/>
          <w:color w:val="000000"/>
        </w:rPr>
        <w:t>способностью следовать этическим нормам в профессиональной деятельности.</w:t>
      </w:r>
    </w:p>
    <w:p>
      <w:pPr>
        <w:pStyle w:val="Normal"/>
        <w:widowControl w:val="false"/>
        <w:ind w:left="0" w:right="0" w:firstLine="567"/>
        <w:rPr/>
      </w:pPr>
      <w:r>
        <w:rPr>
          <w:bCs/>
          <w:iCs/>
        </w:rPr>
        <w:t>б) общепрофессиональных (ОПК):</w:t>
      </w:r>
      <w:r>
        <w:rPr/>
        <w:t xml:space="preserve">ОПК-5 </w:t>
      </w:r>
      <w:r>
        <w:rPr>
          <w:color w:val="000000"/>
        </w:rPr>
        <w:t>готовностью к преподавательской деятельности по основным образовательным программам высшего образования.</w:t>
      </w:r>
    </w:p>
    <w:p>
      <w:pPr>
        <w:pStyle w:val="Normal"/>
        <w:widowControl w:val="false"/>
        <w:ind w:left="0" w:right="0" w:firstLine="567"/>
        <w:rPr/>
      </w:pPr>
      <w:r>
        <w:rPr>
          <w:color w:val="000000"/>
        </w:rPr>
        <w:t xml:space="preserve">в) профессиональных (ПК) : ПК-5 </w:t>
      </w:r>
      <w:bookmarkStart w:id="1" w:name="__DdeLink__9395_998839905"/>
      <w:r>
        <w:rPr>
          <w:color w:val="000000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способностью методически обеспечить педагогический процесс по образовательным программам высшего образования</w:t>
      </w:r>
    </w:p>
    <w:p>
      <w:pPr>
        <w:pStyle w:val="Normal"/>
        <w:widowControl w:val="false"/>
        <w:ind w:left="0" w:right="0" w:firstLine="567"/>
        <w:rPr/>
      </w:pPr>
      <w:r>
        <w:rPr/>
      </w:r>
      <w:bookmarkEnd w:id="1"/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 xml:space="preserve">Таблица 1. 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  <w:i/>
          <w:i/>
        </w:rPr>
      </w:pPr>
      <w:r>
        <w:rPr>
          <w:b/>
          <w:i/>
        </w:rPr>
        <w:t>Декомпозиция результатов обучения</w:t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90"/>
        <w:gridCol w:w="2393"/>
        <w:gridCol w:w="2397"/>
        <w:gridCol w:w="2400"/>
      </w:tblGrid>
      <w:tr>
        <w:trPr/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Код компетенции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Планируемые результаты обучения по практике</w:t>
            </w:r>
          </w:p>
        </w:tc>
      </w:tr>
      <w:tr>
        <w:trPr/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Знать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Уметь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Владеть</w:t>
            </w:r>
          </w:p>
        </w:tc>
      </w:tr>
      <w:tr>
        <w:trPr/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УК-5 </w:t>
            </w:r>
            <w:r>
              <w:rPr>
                <w:rFonts w:ascii="Liberation Serif" w:hAnsi="Liberation Serif"/>
                <w:bCs/>
                <w:iCs/>
                <w:color w:val="000000"/>
                <w:spacing w:val="2"/>
                <w:sz w:val="24"/>
                <w:szCs w:val="24"/>
              </w:rPr>
              <w:t>способностью следовать этическим нормам в профессиональной деятельности.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Возможные сферы и направления профессиональной самореализации; приемы и технологии целеполагания и целереализации; пути достижения более высоких уровней профессионального и личного развития.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      </w:r>
          </w:p>
          <w:p>
            <w:pPr>
              <w:pStyle w:val="Normal"/>
              <w:jc w:val="both"/>
              <w:rPr>
                <w:rFonts w:ascii="Liberation Serif" w:hAnsi="Liberation Serif"/>
                <w:spacing w:val="2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ОПК-5 </w:t>
            </w:r>
            <w:r>
              <w:rPr>
                <w:rFonts w:ascii="Liberation Serif" w:hAnsi="Liberation Serif"/>
                <w:color w:val="000000"/>
                <w:spacing w:val="2"/>
                <w:sz w:val="24"/>
                <w:szCs w:val="24"/>
              </w:rPr>
              <w:t>готовностью к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Основные образовательные программы высшего образования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Эффективно применять современные методы и средства обучения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Способностью планировать и организовывать учебное взаимодействие студентов</w:t>
            </w:r>
          </w:p>
        </w:tc>
      </w:tr>
      <w:tr>
        <w:trPr/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ПК-5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способностью методически обеспечить педагогический процесс по образовательным программам высшего образования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  <w:t>Знать теоретические основы дисциплин в области техносферной безопасности  в образовательных учреждениях высшего, среднего профессионального, и дополнительного профессионального образования; организационную структуру, психологическую и  педагогическую составляющие проведения учебных занятий</w:t>
            </w:r>
          </w:p>
          <w:p>
            <w:pPr>
              <w:pStyle w:val="Style36"/>
              <w:widowControl w:val="false"/>
              <w:spacing w:before="0" w:after="0"/>
              <w:ind w:left="0" w:right="0" w:hanging="0"/>
              <w:rPr>
                <w:rFonts w:ascii="Liberation Serif" w:hAnsi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  <w:t xml:space="preserve">Уметь </w:t>
            </w:r>
          </w:p>
          <w:p>
            <w:pPr>
              <w:pStyle w:val="Defaul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применять современные эффективные  технологии в организации и проведении учебного процесса </w:t>
            </w:r>
          </w:p>
          <w:p>
            <w:pPr>
              <w:pStyle w:val="Style36"/>
              <w:widowControl w:val="false"/>
              <w:spacing w:before="0" w:after="0"/>
              <w:ind w:left="0" w:right="0" w:hanging="0"/>
              <w:rPr>
                <w:rFonts w:ascii="Liberation Serif" w:hAnsi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  <w:t xml:space="preserve">Владеть </w:t>
            </w:r>
          </w:p>
          <w:p>
            <w:pPr>
              <w:pStyle w:val="Defaul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методами и средствами разработки образовательных технологий в сфере техногенной безопасности</w:t>
            </w:r>
          </w:p>
          <w:p>
            <w:pPr>
              <w:pStyle w:val="Style36"/>
              <w:widowControl w:val="false"/>
              <w:spacing w:before="0" w:after="0"/>
              <w:ind w:left="0" w:right="0" w:hanging="0"/>
              <w:rPr>
                <w:rFonts w:ascii="Liberation Serif" w:hAnsi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4. МЕСТО ПРАКТИКИ В СТРУКТУРЕ ОПОП  ВО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/>
        <w:t xml:space="preserve">1.1. </w:t>
      </w:r>
      <w:r>
        <w:rPr>
          <w:b/>
        </w:rPr>
        <w:t>Педагогическая практика относится</w:t>
      </w:r>
      <w:r>
        <w:rPr/>
        <w:t xml:space="preserve"> к вариативной части.</w:t>
      </w:r>
    </w:p>
    <w:p>
      <w:pPr>
        <w:pStyle w:val="Style29"/>
        <w:ind w:left="0" w:right="0" w:firstLine="709"/>
        <w:jc w:val="both"/>
        <w:rPr/>
      </w:pPr>
      <w:r>
        <w:rPr/>
        <w:t xml:space="preserve">Педагогическая практика аспирантов является обязательной частью подготовки аспирантов по направлению подготовки направлению 20.06.01 «Техносферная безопасность», профилю подготовки </w:t>
      </w:r>
      <w:r>
        <w:rPr>
          <w:b w:val="false"/>
          <w:bCs w:val="false"/>
        </w:rPr>
        <w:t>Безопасность в чрезвычайных ситуациях (биологические науки)</w:t>
      </w:r>
      <w:r>
        <w:rPr/>
        <w:t xml:space="preserve"> (уровень подготовки: подготовка кадров высшей квалификации)». Педагогическая практика проводится в соответствии с федеральным государственным образовательным стандартом (ФГОС) названного направления, ОП 20.06.01 «Техносферная безопасность», профилю подготовки </w:t>
      </w:r>
      <w:r>
        <w:rPr>
          <w:b w:val="false"/>
          <w:bCs w:val="false"/>
        </w:rPr>
        <w:t>Безопасность в чрезвычайных ситуациях (биологические науки)</w:t>
      </w:r>
      <w:r>
        <w:rPr/>
        <w:t xml:space="preserve"> (уровень подготовки: подготовка кадров высшей квалификации)» и учебным планом подготовки аспирантов. Педагогическая практика представляет основные блоки Б2 «Педагогическая практика». Педагогическая практика призвана обеспечить функцию связующего звена между теоретическими знаниями, полученными при усвоении образовательной программы, и практической деятельностью по внедрению этих знаний в реальный учебный процесс. Программа практики увязана с возможностью последующей преподавательской деятельности лиц, оканчивающих аспирантуру. </w:t>
      </w:r>
    </w:p>
    <w:p>
      <w:pPr>
        <w:pStyle w:val="Normal"/>
        <w:widowControl w:val="false"/>
        <w:ind w:left="568" w:right="0" w:hanging="0"/>
        <w:rPr/>
      </w:pPr>
      <w:r>
        <w:rPr/>
        <w:t>При выходе на педагогическую практику, аспиранты должны обладать:</w:t>
      </w:r>
    </w:p>
    <w:p>
      <w:pPr>
        <w:pStyle w:val="Normal"/>
        <w:widowControl w:val="false"/>
        <w:numPr>
          <w:ilvl w:val="1"/>
          <w:numId w:val="1"/>
        </w:numPr>
        <w:tabs>
          <w:tab w:val="left" w:pos="0" w:leader="none"/>
          <w:tab w:val="left" w:pos="993" w:leader="none"/>
        </w:tabs>
        <w:overflowPunct w:val="true"/>
        <w:ind w:left="0" w:right="0" w:firstLine="709"/>
        <w:jc w:val="both"/>
        <w:rPr/>
      </w:pPr>
      <w:r>
        <w:rPr/>
        <w:t>способностью самостоятельно проводить научные исследования с использованием современных методов моделирования процессов, явлений и объектов, математических методов и инструментальных средств;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  <w:tab w:val="left" w:pos="993" w:leader="none"/>
        </w:tabs>
        <w:overflowPunct w:val="true"/>
        <w:ind w:left="0" w:right="60" w:firstLine="709"/>
        <w:jc w:val="both"/>
        <w:outlineLvl w:val="0"/>
        <w:rPr>
          <w:b/>
          <w:b/>
          <w:bCs/>
        </w:rPr>
      </w:pPr>
      <w:r>
        <w:rPr>
          <w:b/>
          <w:bCs/>
        </w:rPr>
        <w:t xml:space="preserve">- </w:t>
      </w:r>
      <w:r>
        <w:rPr>
          <w:b w:val="false"/>
          <w:bCs w:val="false"/>
        </w:rPr>
        <w:t>способностью в условиях развития науки и изменяющейся социальной практики к переоценке накопленного опыта, анализу своих возможностей, умение приобретать новые знания, использовать различные формы обучения, информационно образовательные технологии.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/>
        <w:t xml:space="preserve"> </w:t>
      </w:r>
      <w:r>
        <w:rPr/>
        <w:t xml:space="preserve">4.2. </w:t>
      </w:r>
      <w:r>
        <w:rPr>
          <w:b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>
        <w:rPr>
          <w:i/>
        </w:rPr>
        <w:t>: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suppressAutoHyphens w:val="true"/>
        <w:ind w:left="0" w:right="0" w:firstLine="567"/>
        <w:jc w:val="both"/>
        <w:rPr/>
      </w:pPr>
      <w:r>
        <w:rPr>
          <w:i/>
          <w:lang w:eastAsia="ar-SA"/>
        </w:rPr>
        <w:t xml:space="preserve">- </w:t>
      </w:r>
      <w:r>
        <w:rPr>
          <w:spacing w:val="-3"/>
          <w:lang w:eastAsia="ar-SA"/>
        </w:rPr>
        <w:t xml:space="preserve">«История и философия науки», «Педагогика и психология высшей школы», «Информационные технологии в научных исследованиях». </w:t>
      </w:r>
    </w:p>
    <w:p>
      <w:pPr>
        <w:pStyle w:val="Normal"/>
        <w:tabs>
          <w:tab w:val="left" w:pos="0" w:leader="none"/>
        </w:tabs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Знания: 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b/>
          <w:color w:val="000000"/>
          <w:szCs w:val="28"/>
        </w:rPr>
        <w:t>-</w:t>
      </w:r>
      <w:r>
        <w:rPr>
          <w:b w:val="false"/>
          <w:bCs w:val="false"/>
          <w:color w:val="000000"/>
          <w:szCs w:val="28"/>
        </w:rPr>
        <w:t xml:space="preserve"> в </w:t>
      </w:r>
      <w:r>
        <w:rPr>
          <w:color w:val="000000"/>
          <w:szCs w:val="28"/>
        </w:rPr>
        <w:t>организации учебного процесса в высшей школе,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способов структурирования и предъявления учебного материала,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приемов оценки учебной деятельности в высшей школе,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применения разнообразных образовательных технологий,</w:t>
      </w:r>
    </w:p>
    <w:p>
      <w:pPr>
        <w:pStyle w:val="Normal"/>
        <w:tabs>
          <w:tab w:val="left" w:pos="0" w:leader="none"/>
        </w:tabs>
        <w:jc w:val="both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Умения: 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-ориентироваться в организационной структуре и нормативно-правовой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документации учреждения высшего профессионального образования;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-структурировать и психологически грамотное преобразовывать научные знания в учебный материал,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систематизировать учебные и воспитательные задачи;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владеть культурой речи, общения и профессиональной риторики;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b/>
          <w:color w:val="000000"/>
          <w:szCs w:val="28"/>
        </w:rPr>
        <w:t>Навыки:</w:t>
      </w:r>
      <w:r>
        <w:rPr>
          <w:color w:val="000000"/>
          <w:szCs w:val="28"/>
        </w:rPr>
        <w:t xml:space="preserve"> 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проектирования образовательного процесса;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проведения и сопровождения учебных занятий;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составления фондов оценочных средств;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разработки методических материалов и работы с ними;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suppressAutoHyphens w:val="true"/>
        <w:ind w:left="0" w:right="0" w:hanging="0"/>
        <w:jc w:val="both"/>
        <w:rPr/>
      </w:pPr>
      <w:r>
        <w:rPr>
          <w:b/>
          <w:szCs w:val="28"/>
          <w:lang w:eastAsia="ar-SA"/>
        </w:rPr>
        <w:t xml:space="preserve">- </w:t>
      </w:r>
      <w:r>
        <w:rPr>
          <w:b w:val="false"/>
          <w:bCs w:val="false"/>
          <w:szCs w:val="28"/>
          <w:lang w:eastAsia="ar-SA"/>
        </w:rPr>
        <w:t>постановки учебно-воспитательных целей, выбора типа, вида занятия.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suppressAutoHyphens w:val="true"/>
        <w:ind w:left="0" w:right="0" w:hanging="0"/>
        <w:jc w:val="both"/>
        <w:rPr>
          <w:b/>
          <w:b/>
          <w:szCs w:val="28"/>
          <w:lang w:eastAsia="ar-SA"/>
        </w:rPr>
      </w:pPr>
      <w:r>
        <w:rPr>
          <w:b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/>
        <w:t xml:space="preserve">4.3. </w:t>
      </w:r>
      <w:r>
        <w:rPr>
          <w:b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>
        <w:rPr/>
        <w:t>: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ind w:left="0" w:right="0" w:firstLine="567"/>
        <w:jc w:val="both"/>
        <w:rPr/>
      </w:pPr>
      <w:r>
        <w:rPr>
          <w:i/>
        </w:rPr>
        <w:t xml:space="preserve">- </w:t>
      </w:r>
      <w:r>
        <w:rPr>
          <w:lang w:eastAsia="ar-SA"/>
        </w:rPr>
        <w:t>Практика по получению профессиональных умений и опыта профессиональной деятельности, научно-исследовательская деятельность.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ind w:left="0" w:right="0" w:firstLine="567"/>
        <w:jc w:val="both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5. ОБЪЕМ И СОДЕРЖАНИЕ ПРАКТИКИ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bCs/>
        </w:rPr>
        <w:t>О</w:t>
      </w:r>
      <w:r>
        <w:rPr/>
        <w:t>бъем практики в зачетных единицах (</w:t>
      </w:r>
      <w:r>
        <w:rPr>
          <w:b/>
        </w:rPr>
        <w:t>6 зачетных единиц</w:t>
      </w:r>
      <w:r>
        <w:rPr/>
        <w:t xml:space="preserve">) и ее продолжительности в неделях </w:t>
      </w:r>
      <w:r>
        <w:rPr>
          <w:b/>
        </w:rPr>
        <w:t>(4 недели</w:t>
      </w:r>
      <w:r>
        <w:rPr/>
        <w:t>) составляет: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 xml:space="preserve">Таблица 2. </w:t>
      </w:r>
    </w:p>
    <w:p>
      <w:pPr>
        <w:pStyle w:val="Normal"/>
        <w:tabs>
          <w:tab w:val="right" w:pos="9639" w:leader="underscore"/>
        </w:tabs>
        <w:suppressAutoHyphens w:val="true"/>
        <w:jc w:val="right"/>
        <w:rPr>
          <w:b/>
          <w:b/>
          <w:lang w:eastAsia="ar-SA"/>
        </w:rPr>
      </w:pPr>
      <w:r>
        <w:rPr>
          <w:b/>
          <w:lang w:eastAsia="ar-SA"/>
        </w:rPr>
        <w:t>Структура и содержание практики</w:t>
      </w:r>
    </w:p>
    <w:p>
      <w:pPr>
        <w:pStyle w:val="Normal"/>
        <w:tabs>
          <w:tab w:val="right" w:pos="9639" w:leader="underscore"/>
        </w:tabs>
        <w:suppressAutoHyphens w:val="true"/>
        <w:jc w:val="right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tbl>
      <w:tblPr>
        <w:tblW w:w="975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92"/>
        <w:gridCol w:w="1984"/>
        <w:gridCol w:w="2560"/>
        <w:gridCol w:w="1559"/>
        <w:gridCol w:w="1700"/>
        <w:gridCol w:w="1561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компетенции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Трудоемкость (в академ. часах)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Формы текущего контроля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Установочная конференция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/>
            </w:pPr>
            <w:r>
              <w:rPr>
                <w:lang w:val="ru-RU" w:eastAsia="ru-RU"/>
              </w:rPr>
              <w:t xml:space="preserve">УК-5, ОПК-5; </w:t>
            </w:r>
            <w:bookmarkStart w:id="2" w:name="__DdeLink__39497_998839905"/>
            <w:r>
              <w:rPr>
                <w:lang w:val="ru-RU" w:eastAsia="ru-RU"/>
              </w:rPr>
              <w:t>ПК-5</w:t>
            </w:r>
            <w:bookmarkEnd w:id="2"/>
          </w:p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лист инструктажа по технике безопасности.</w:t>
            </w:r>
          </w:p>
          <w:p>
            <w:pPr>
              <w:pStyle w:val="1"/>
              <w:suppressLineNumbers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Пропедевтический этап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и утверждение индивидуальной программы практики(приложение 1), знакомство с базой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Запись в дневнике практики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Непосредственно педагогическая практика на базе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  <w:p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Отзыв,</w:t>
            </w:r>
          </w:p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>
        <w:trPr>
          <w:trHeight w:val="441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 - аналитический этап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Подведение итогов практики на итоговой конференции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Защита отчета по практике</w:t>
            </w:r>
          </w:p>
        </w:tc>
      </w:tr>
    </w:tbl>
    <w:p>
      <w:pPr>
        <w:pStyle w:val="Normal"/>
        <w:tabs>
          <w:tab w:val="right" w:pos="9639" w:leader="underscore"/>
        </w:tabs>
        <w:suppressAutoHyphens w:val="true"/>
        <w:jc w:val="right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ind w:left="0" w:right="0" w:firstLine="567"/>
        <w:jc w:val="both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6. ФОРМА ОТЧЕТНОСТИ ПО ПРАКТИКЕ</w:t>
      </w:r>
    </w:p>
    <w:p>
      <w:pPr>
        <w:pStyle w:val="Normal"/>
        <w:tabs>
          <w:tab w:val="right" w:pos="9639" w:leader="underscore"/>
        </w:tabs>
        <w:ind w:firstLine="567"/>
        <w:jc w:val="both"/>
        <w:rPr/>
      </w:pPr>
      <w:r>
        <w:rPr>
          <w:bCs/>
        </w:rPr>
        <w:t>Итоговая форма контроля по практике – зачет.</w:t>
      </w:r>
    </w:p>
    <w:p>
      <w:pPr>
        <w:pStyle w:val="Normal"/>
        <w:tabs>
          <w:tab w:val="right" w:pos="9639" w:leader="underscore"/>
        </w:tabs>
        <w:ind w:firstLine="567"/>
        <w:jc w:val="both"/>
        <w:rPr/>
      </w:pPr>
      <w:r>
        <w:rPr>
          <w:bCs/>
        </w:rPr>
        <w:t>Формой отчётности по итогам практики является отчёт, в котором отражаются все разделы практики. Промежуточная аттестация по педагогической практике (зачет) проводится научным руководителем либо при индивидуальном собеседовании, либо в ходе проведения отчетной конференции аспирантов по итогам педагогической практики.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Для получения положительной оценки аспирант должен полностью выполнить все содержание работ, предусмотренное программой практики, своевременно оформить отчет и предусмотренную текущую и итоговую документацию.</w:t>
      </w:r>
    </w:p>
    <w:p>
      <w:pPr>
        <w:pStyle w:val="Normal"/>
        <w:tabs>
          <w:tab w:val="right" w:pos="9639" w:leader="underscore"/>
        </w:tabs>
        <w:ind w:firstLine="567"/>
        <w:jc w:val="both"/>
        <w:rPr/>
      </w:pPr>
      <w:r>
        <w:rPr>
          <w:bCs/>
        </w:rPr>
        <w:t xml:space="preserve"> </w:t>
      </w:r>
      <w:r>
        <w:rPr>
          <w:bCs/>
        </w:rPr>
        <w:t>Практика оценивается руководителем на основе отчета, составляемого аспирантом, который включает описание всей проделанной работы. Итоговая оценка характеризует следующие результаты: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- понимание целей и задач, стоящих перед современной высшей школой;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- общую подготовку к педагогической деятельности: знание нормативных документов по организации учебно-воспитательного процесса в вузе, владение преподаваемым предметом, культуру речи, умение планировать рабочее время, владение аудиторией и т. д.;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- оценку преподавательской деятельности аспиранта: качество подготовленных ме-тодических материалов для проведения занятий, доступность формы изложения, уровень педагогической коммуникации, владение активными методами обучения.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Оценка по педагогической практике заносится в экзаменационную ведомость и приравнивается к оценкам по теоретическому обучению.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Аспиранты, не выполнившие программу практики по неуважительным причинам, или получившие неудовлетворительную оценку, не допускаются к итоговой аттестации по образовательной программе как имеющие академическую задолженность.</w:t>
      </w:r>
    </w:p>
    <w:p>
      <w:pPr>
        <w:pStyle w:val="Normal"/>
        <w:tabs>
          <w:tab w:val="right" w:pos="9639" w:leader="underscore"/>
        </w:tabs>
        <w:suppressAutoHyphens w:val="true"/>
        <w:ind w:left="0" w:right="0" w:firstLine="709"/>
        <w:jc w:val="both"/>
        <w:rPr>
          <w:bCs/>
          <w:lang w:eastAsia="ar-SA"/>
        </w:rPr>
      </w:pPr>
      <w:r>
        <w:rPr>
          <w:bCs/>
          <w:lang w:eastAsia="ar-SA"/>
        </w:rPr>
        <w:t>На основании отчета  аспирант получает зачёт по практике с выставлением оценок «зачтено», «не зачтено».</w:t>
      </w:r>
    </w:p>
    <w:p>
      <w:pPr>
        <w:pStyle w:val="Normal"/>
        <w:tabs>
          <w:tab w:val="right" w:pos="9639" w:leader="underscore"/>
        </w:tabs>
        <w:suppressAutoHyphens w:val="true"/>
        <w:ind w:left="0" w:right="0" w:firstLine="709"/>
        <w:jc w:val="both"/>
        <w:rPr>
          <w:bCs/>
          <w:lang w:eastAsia="ar-SA"/>
        </w:rPr>
      </w:pPr>
      <w:r>
        <w:rPr>
          <w:bCs/>
          <w:lang w:eastAsia="ar-SA"/>
        </w:rPr>
      </w:r>
    </w:p>
    <w:p>
      <w:pPr>
        <w:pStyle w:val="Normal"/>
        <w:suppressAutoHyphens w:val="true"/>
        <w:ind w:left="0" w:right="0" w:firstLine="709"/>
        <w:jc w:val="both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7. ФОНД ОЦЕНОЧНЫХ СРЕДСТВ ДЛЯ ПРОВЕДЕНИЯ ПРОМЕЖУТОЧНОЙ АТТЕСТАЦИИ ОБУЧАЮЩИХСЯ ПО ПРАКТИКЕ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both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  <w:t>7.1. Паспорт фонда оценочных средств.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right" w:pos="9639" w:leader="underscore"/>
        </w:tabs>
        <w:ind w:firstLine="709"/>
        <w:jc w:val="both"/>
        <w:rPr/>
      </w:pPr>
      <w:r>
        <w:rPr>
          <w:bCs/>
        </w:rPr>
        <w:t xml:space="preserve">При проведении текущего контроля и промежуточной аттестации по </w:t>
      </w:r>
      <w:r>
        <w:rPr/>
        <w:t xml:space="preserve">педагогической практике </w:t>
      </w:r>
      <w:r>
        <w:rPr>
          <w:bCs/>
        </w:rPr>
        <w:t>проверяется сформированность у обучающихся компетенций, указанных в разделе 3 настоящей программы</w:t>
      </w:r>
      <w:r>
        <w:rPr>
          <w:bCs/>
          <w:i/>
        </w:rPr>
        <w:t>.</w:t>
      </w:r>
      <w:r>
        <w:rPr/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>
        <w:rPr>
          <w:spacing w:val="-4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</w:r>
    </w:p>
    <w:p>
      <w:pPr>
        <w:pStyle w:val="Normal"/>
        <w:tabs>
          <w:tab w:val="right" w:pos="9639" w:leader="underscore"/>
        </w:tabs>
        <w:jc w:val="right"/>
        <w:rPr/>
      </w:pPr>
      <w:r>
        <w:rPr>
          <w:b/>
        </w:rPr>
        <w:t xml:space="preserve">Таблица 3. 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 xml:space="preserve">Соответствие разделов (этапов) практики, 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>результатов обучения по практике и оценочных средств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</w:r>
    </w:p>
    <w:tbl>
      <w:tblPr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95"/>
        <w:gridCol w:w="3628"/>
        <w:gridCol w:w="2950"/>
        <w:gridCol w:w="2264"/>
      </w:tblGrid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Контролируемые разделы (этапы) практики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Код контролируемой компетенции (компетенций)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Наименование </w:t>
              <w:br/>
              <w:t>оценочного средства</w:t>
            </w:r>
          </w:p>
        </w:tc>
      </w:tr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/>
            </w:pPr>
            <w:r>
              <w:rPr>
                <w:lang w:val="ru-RU" w:eastAsia="ru-RU"/>
              </w:rPr>
              <w:t>УК-5, ОПК-5, ПК-5</w:t>
            </w:r>
          </w:p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Пропедевтический этап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  <w:p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 - аналитический этап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1814" w:leader="none"/>
        </w:tabs>
        <w:ind w:firstLine="567"/>
        <w:jc w:val="both"/>
        <w:outlineLvl w:val="1"/>
        <w:rPr>
          <w:spacing w:val="-4"/>
          <w:lang w:eastAsia="ar-SA"/>
        </w:rPr>
      </w:pPr>
      <w:r>
        <w:rPr>
          <w:spacing w:val="-4"/>
          <w:lang w:eastAsia="ar-SA"/>
        </w:rPr>
      </w:r>
    </w:p>
    <w:p>
      <w:pPr>
        <w:pStyle w:val="Normal"/>
        <w:tabs>
          <w:tab w:val="right" w:pos="9639" w:leader="underscore"/>
        </w:tabs>
        <w:suppressAutoHyphens w:val="true"/>
        <w:jc w:val="right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Итогом прохождения практики является готовность аспирантов к выполнению или освоение соответствующего вида профессиональной деятельности. Итогом проверки является однозначное решение: вид профессиональной деятельности освоен / не освоен («зачтено» / «не зачтено»)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Оценка по практике выставляется на основании отчета по практике с указанием видов работ, выполненных обучающимся во время практики, их объема, качества выполнения.</w:t>
      </w:r>
    </w:p>
    <w:p>
      <w:pPr>
        <w:pStyle w:val="Normal"/>
        <w:ind w:firstLine="567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tabs>
          <w:tab w:val="right" w:pos="9639" w:leader="underscore"/>
        </w:tabs>
        <w:jc w:val="right"/>
        <w:rPr/>
      </w:pPr>
      <w:r>
        <w:rPr>
          <w:b/>
        </w:rPr>
        <w:t xml:space="preserve">Таблица 4. </w:t>
      </w:r>
    </w:p>
    <w:p>
      <w:pPr>
        <w:pStyle w:val="Normal"/>
        <w:tabs>
          <w:tab w:val="right" w:pos="9639" w:leader="underscore"/>
        </w:tabs>
        <w:jc w:val="right"/>
        <w:rPr/>
      </w:pPr>
      <w:r>
        <w:rPr/>
        <w:t>Показатели оценивания результатов обучения по практике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81"/>
        <w:gridCol w:w="8067"/>
      </w:tblGrid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Критерии оценивания</w:t>
            </w:r>
          </w:p>
        </w:tc>
      </w:tr>
      <w:tr>
        <w:trPr/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</w:rPr>
              <w:t>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-дается комплексная оценка предложенной ситуации;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-демонстрируются глубокие знания теоретического материала и умение их применять;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 последовательное, правильное выполнение всех заданий;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>
        <w:trPr/>
        <w:tc>
          <w:tcPr>
            <w:tcW w:w="15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-дается комплексная оценка предложенной ситуации;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-демонстрируются глубокие знания теоретического материала и умение их применять; 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 последовательное, правильное выполнение всех заданий;</w:t>
            </w:r>
          </w:p>
          <w:p>
            <w:pPr>
              <w:pStyle w:val="Normal"/>
              <w:jc w:val="both"/>
              <w:rPr/>
            </w:pPr>
            <w:r>
              <w:rPr>
                <w:i/>
              </w:rPr>
              <w:t>-возможны единичные ошибки, исправляемые самим аспирантом после замечания преподавателя;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>
        <w:trPr/>
        <w:tc>
          <w:tcPr>
            <w:tcW w:w="15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-затруднения с комплексной оценкой предложенной ситуации;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-неполное теоретическое обоснование, требующее наводящих вопросов преподавателя;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-выполнение заданий при подсказке преподавателя;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 затруднения в формулировке выводов.</w:t>
            </w:r>
          </w:p>
        </w:tc>
      </w:tr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 неправильная оценка предложенной ситуации;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-отсутствие теоретического обоснования выполнения заданий.</w:t>
            </w:r>
          </w:p>
        </w:tc>
      </w:tr>
    </w:tbl>
    <w:p>
      <w:pPr>
        <w:pStyle w:val="Normal"/>
        <w:tabs>
          <w:tab w:val="right" w:pos="9639" w:leader="underscore"/>
        </w:tabs>
        <w:jc w:val="right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/>
      </w:r>
    </w:p>
    <w:p>
      <w:pPr>
        <w:pStyle w:val="Normal"/>
        <w:tabs>
          <w:tab w:val="right" w:pos="9639" w:leader="underscore"/>
        </w:tabs>
        <w:jc w:val="right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>7</w:t>
      </w:r>
      <w:r>
        <w:rPr>
          <w:b/>
          <w:bCs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По результатам практики аспиранты должны подготовить и предоставить руководителю практики отчет.</w:t>
      </w:r>
    </w:p>
    <w:p>
      <w:pPr>
        <w:pStyle w:val="Normal"/>
        <w:shd w:val="clear" w:fill="FFFFFF"/>
        <w:ind w:firstLine="709"/>
        <w:jc w:val="both"/>
        <w:rPr>
          <w:color w:val="000000"/>
        </w:rPr>
      </w:pPr>
      <w:r>
        <w:rPr>
          <w:color w:val="000000"/>
        </w:rPr>
        <w:t>Отчет практиканта должен включать: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- дневник прохождения практики, где отражаются размышления аспиранта о выполняемой работе;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- описание кейса, за которым аспирант вел непосредственное наблюдение;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- анализ практики – краткое описание основных функций, которые выполнял аспирант во время практики;</w:t>
      </w:r>
    </w:p>
    <w:p>
      <w:pPr>
        <w:pStyle w:val="Normal"/>
        <w:shd w:val="clear" w:fill="FFFFFF"/>
        <w:ind w:firstLine="709"/>
        <w:jc w:val="both"/>
        <w:rPr>
          <w:color w:val="000000"/>
        </w:rPr>
      </w:pPr>
      <w:r>
        <w:rPr>
          <w:color w:val="000000"/>
        </w:rPr>
        <w:t>- отзыв руководителя практики в организации;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- отзывы клиентов о работе аспиранта (необязательно, но приветствуется).</w:t>
      </w:r>
    </w:p>
    <w:p>
      <w:pPr>
        <w:pStyle w:val="Normal"/>
        <w:shd w:val="clear" w:fill="FFFFFF"/>
        <w:ind w:firstLine="709"/>
        <w:jc w:val="both"/>
        <w:rPr>
          <w:color w:val="000000"/>
        </w:rPr>
      </w:pPr>
      <w:r>
        <w:rPr>
          <w:color w:val="000000"/>
        </w:rPr>
        <w:t>Рефлексивный дневник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Практикант должен делать короткие заметки по каждому делу и заданию, которые он получает во время практики. При этом записи в дневнике должны иметь рефлексивный и критический характер, т.е. отражать не только действия, которые выполняет аспирант, но также мысли и чувства, возникающие в связи с выполняемой деятельностью. Рефлексия</w:t>
      </w:r>
    </w:p>
    <w:p>
      <w:pPr>
        <w:pStyle w:val="Normal"/>
        <w:shd w:val="clear" w:fill="FFFFFF"/>
        <w:ind w:firstLine="709"/>
        <w:jc w:val="both"/>
        <w:rPr>
          <w:color w:val="000000"/>
        </w:rPr>
      </w:pPr>
      <w:r>
        <w:rPr>
          <w:color w:val="000000"/>
        </w:rPr>
        <w:t>может касаться любых аспектов работы в организации, таких, к примеру, как: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особенности клиентов;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методы работы, их целевая направленность и результативность;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этические дилеммы;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условия работы;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взаимодействие с руководителем практики, специалистами организации и представителями других ведомств;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самооценка профессионально значимых качеств.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В дневнике практикант описывает значимые с его точки зрения события. Записи рекомендуется делать регулярно, выделяя на это время ежедневно в течение практики. Дневниковые записи необходимо использовать для дальнейшего критического анализа и обобщения опыта, полученного аспирантом в ходе практики. Описание кейсов должно отражать основной алгоритм деятельности специалиста организации в работе с клиентом с момента его первого контакта со специалистами организации и до завершения работы с ним. В описании необходимо продемонстрировать знание процесса работы с клиентом, его основных этапов и содержания, методов и технологий, сопровождающей документации.</w:t>
      </w:r>
    </w:p>
    <w:p>
      <w:pPr>
        <w:pStyle w:val="Normal"/>
        <w:shd w:val="clear" w:fill="FFFFFF"/>
        <w:suppressAutoHyphens w:val="true"/>
        <w:spacing w:before="28" w:after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Анализ практики включает не только перечисление основных видов профессиональной деятельности, которые аспирант осуществлял во время прохождения практики, но и выводы о том, какие теоретические знания были использованы, или должны быть использованы в работе с клиентами, какие теоретические модели и перспективы лежат в основе программ и технологий социальной работы, реализуемых в службах и организациях.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center"/>
        <w:rPr>
          <w:b/>
          <w:b/>
          <w:color w:val="000000"/>
          <w:lang w:eastAsia="ar-SA"/>
        </w:rPr>
      </w:pPr>
      <w:r>
        <w:rPr>
          <w:b/>
          <w:color w:val="000000"/>
          <w:lang w:eastAsia="ar-SA"/>
        </w:rPr>
        <w:t>Примерный перечень заданий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1.Познакомьтесь со структурой факультета и перечнем реализуемых образовательных программ ВО.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2.Познакомьтесь с должностными обязанностями и правами преподавателей вуза, правилами внутреннего распорядка вуза, документами, регламентирующими учебный процесс.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3.Изучите учебные планы.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4.Изучите методическую литературу и Федеральные государственные образовательные стандарты. 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5.Изучите утвержденные рабочие учебные программы по дисциплинам учебного плана.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6.Изучите содержание, формы, направления деятельности кафедры: документы планирования и учета учебной нагрузки; протоколы заседания кафедры; планы и отчеты преподавателей; документы по аттестации студентов; нормативные и регламентирующие документы кафедры.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7.Составьте индивидуальный план практики и решите с кафедральным руководителем практики организационные вопросов по его реализации.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8. Проведите подбор и анализ основной и дополнительной литературы в соответствии с тематикой и целями планируемых занятий.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/>
      </w:pPr>
      <w:r>
        <w:rPr>
          <w:color w:val="000000"/>
          <w:lang w:eastAsia="ar-SA"/>
        </w:rPr>
        <w:t>9.Самостоятельно разработайте рабочую учебную программу по одной дисциплине. Разработайте на основе этой программы лекционные, семинарские и практические занятия для работы со студентами в объеме, определяемом кафедральным руководителем практики, составьте соответствующие планы-конспекты занятий.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10.Подготовьте учебно-методические материалы для проведения занятий.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11.Самостоятельно подготовьте контрольно-измерительные материалы: задания в тестовой форме, экзаменационные вопросы, вопросы для контрольных работ, коллоквиумов и иных форм текущего и промежуточного контроля.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12.Опишите и проанализируйте посещенные лекционные и семинарские (практические) занятия преподавателей кафедры, изученный педагогический опыт.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13.Проведите семинарские (практические, лабораторные) занятия по определенной дисциплине и тематике. Проведите самоанализ проведенных занятий.</w:t>
      </w:r>
    </w:p>
    <w:p>
      <w:pPr>
        <w:pStyle w:val="Normal"/>
        <w:shd w:val="clear" w:fill="FFFFFF"/>
        <w:suppressAutoHyphens w:val="true"/>
        <w:spacing w:before="28" w:after="28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14. Опишите и проанализируйте проблемы, возникшие в ходе проведения занятий и ход их решения; проведите анализ данных промежуточной оценки знаний студентов по разобранным темам, сделайте анализ психолого-педагогических взаимоотношений с учебными группами, ошибок, допущенных при проведении занятий, и возможных путей их предотвращения в будущем.</w:t>
      </w:r>
    </w:p>
    <w:p>
      <w:pPr>
        <w:pStyle w:val="Normal"/>
        <w:suppressAutoHyphens w:val="true"/>
        <w:ind w:left="0" w:right="0" w:firstLine="706"/>
        <w:rPr/>
      </w:pPr>
      <w:r>
        <w:rPr>
          <w:rFonts w:eastAsia="TimesNewRoman;MS Gothic"/>
          <w:color w:val="000000"/>
          <w:lang w:eastAsia="ar-SA"/>
        </w:rPr>
        <w:t>15.</w:t>
      </w:r>
      <w:r>
        <w:rPr>
          <w:bCs/>
          <w:color w:val="000000"/>
          <w:lang w:eastAsia="ar-SA"/>
        </w:rPr>
        <w:t xml:space="preserve"> Проведите анализ посещенного вами лекционного занятия преподавателя по следующей схеме:</w:t>
        <w:br/>
        <w:t>1. Присутствующие.</w:t>
        <w:br/>
        <w:t>2. Ф. И.О. преподавателя.</w:t>
        <w:br/>
        <w:t>3. Дата посещения, время.</w:t>
        <w:br/>
        <w:t>4. Специальность, предмет.</w:t>
        <w:br/>
        <w:t>5. Количество студентов на лекции.</w:t>
        <w:br/>
        <w:t>6. Тема лекции.</w:t>
      </w:r>
    </w:p>
    <w:p>
      <w:pPr>
        <w:pStyle w:val="Normal"/>
        <w:suppressAutoHyphens w:val="true"/>
        <w:ind w:left="0" w:right="0" w:firstLine="706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</w:r>
    </w:p>
    <w:p>
      <w:pPr>
        <w:pStyle w:val="Normal"/>
        <w:suppressAutoHyphens w:val="true"/>
        <w:ind w:left="0" w:right="0" w:firstLine="709"/>
        <w:jc w:val="both"/>
        <w:rPr>
          <w:bCs/>
          <w:spacing w:val="-3"/>
          <w:lang w:eastAsia="ar-SA"/>
        </w:rPr>
      </w:pPr>
      <w:r>
        <w:rPr>
          <w:bCs/>
          <w:spacing w:val="-3"/>
          <w:lang w:eastAsia="ar-SA"/>
        </w:rPr>
        <w:t xml:space="preserve">В отчете по педагогической практике должны быть отражены виды и результаты проделанной работы. 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Порядок изложения материала в отчете о прохождении практики продумывается и избирается самим аспирантом. Отчет должен быть написан аккуратно, кратко, по конкретному фактическому материалу и составляется он каждым аспирантом отдельно. Оформляется отчет с учетом требований стандартов. В приложении представлен титульный лист отчета.</w:t>
      </w:r>
    </w:p>
    <w:p>
      <w:pPr>
        <w:pStyle w:val="Normal"/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Отчет оформляется на листах формата А4 в соответствии с ГОСТ 2.105-95 «Общие требования к тестовым документам». </w:t>
      </w:r>
    </w:p>
    <w:p>
      <w:pPr>
        <w:pStyle w:val="Normal"/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Отчет по производственной практике включает следующие разделы: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-Титульный лист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-Содержание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-Пояснительная записка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-План-график (календарный план) прохождения практики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-Введение (указывается место, сроки, цель, задачи проведения практики)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-Глава 1. Составление плана занятия по дисциплине «…» по теме «…»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-Глава 2. Разработка интерактивного занятия по дисциплине «…» по теме «…»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-Глава 3. Разработка технологической карты дисциплины «…»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-Заключение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-Список используемой литературы (ГОСТ 7.1.-2003, ГОСТ 7.82-2001)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-Приложение.</w:t>
      </w:r>
    </w:p>
    <w:p>
      <w:pPr>
        <w:pStyle w:val="Normal"/>
        <w:suppressAutoHyphens w:val="true"/>
        <w:ind w:left="0" w:right="0" w:firstLine="709"/>
        <w:jc w:val="both"/>
        <w:rPr>
          <w:rFonts w:eastAsia="Arial" w:cs="Calibri"/>
          <w:color w:val="000000"/>
          <w:lang w:eastAsia="ar-SA"/>
        </w:rPr>
      </w:pPr>
      <w:r>
        <w:rPr>
          <w:rFonts w:eastAsia="Arial" w:cs="Calibri"/>
          <w:color w:val="000000"/>
          <w:lang w:eastAsia="ar-SA"/>
        </w:rPr>
        <w:t xml:space="preserve">-В заключение подводится итог по отдельным этапам практики. </w:t>
      </w:r>
    </w:p>
    <w:p>
      <w:pPr>
        <w:pStyle w:val="Normal"/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При необходимости результаты в форме графиков, фотографий и т.п. приводятся в Приложении к отчету.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cs="Calibri"/>
          <w:b/>
          <w:bCs/>
          <w:iCs/>
          <w:u w:val="single"/>
          <w:lang w:eastAsia="ar-SA"/>
        </w:rPr>
        <w:t>Требования к оформлению отчета</w:t>
      </w:r>
      <w:r>
        <w:rPr>
          <w:rFonts w:cs="Calibri"/>
          <w:iCs/>
          <w:lang w:eastAsia="ar-SA"/>
        </w:rPr>
        <w:t xml:space="preserve">: шрифт </w:t>
      </w:r>
      <w:r>
        <w:rPr>
          <w:rFonts w:cs="Calibri"/>
          <w:iCs/>
          <w:lang w:val="en-US" w:eastAsia="ar-SA"/>
        </w:rPr>
        <w:t>TimesNewRoman</w:t>
      </w:r>
      <w:r>
        <w:rPr>
          <w:rFonts w:cs="Calibri"/>
          <w:iCs/>
          <w:lang w:eastAsia="ar-SA"/>
        </w:rPr>
        <w:t xml:space="preserve">, 14 пт, в таблицах 10 — 12 пт. Интервал 1,0. Красная строка отступ 1,25. Поля: слева 3,0 см, справа — 1,5 см, снизу и сверху — 2,0 см. Выравнивание по ширине. Заголовки глав — 16 пт, жирный, прописными буквами, по центру. Подзаголовки — жирный, строчные буквы (кроме первой), 14 пт. </w:t>
      </w:r>
      <w:r>
        <w:rPr>
          <w:rFonts w:cs="Calibri"/>
          <w:bCs/>
          <w:iCs/>
          <w:lang w:eastAsia="ar-SA"/>
        </w:rPr>
        <w:t xml:space="preserve">В конце заголовков и подзаголовков точка не ставится. </w:t>
      </w:r>
      <w:r>
        <w:rPr>
          <w:rFonts w:cs="Calibri"/>
          <w:iCs/>
          <w:lang w:eastAsia="ar-SA"/>
        </w:rPr>
        <w:t xml:space="preserve">Номера страниц вверху, справа. Стиль маркеров — единый. В тексте не должно быть двойных пробелов и интервалов до и после абзацев в одной главе. </w:t>
      </w:r>
      <w:r>
        <w:rPr>
          <w:rFonts w:cs="Calibri"/>
          <w:bCs/>
          <w:iCs/>
          <w:lang w:eastAsia="ar-SA"/>
        </w:rPr>
        <w:t xml:space="preserve">Содержание формируется автоматически. </w:t>
      </w:r>
    </w:p>
    <w:p>
      <w:pPr>
        <w:pStyle w:val="Normal"/>
        <w:suppressAutoHyphens w:val="true"/>
        <w:ind w:left="0" w:right="0" w:firstLine="709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 xml:space="preserve">Студент представляет полученные результаты в форме презентации на публичной защите на семинаре – конференции. 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eastAsia="Calibri" w:cs="Calibri"/>
          <w:color w:val="000000"/>
          <w:lang w:eastAsia="ar-SA"/>
        </w:rPr>
        <w:t xml:space="preserve">После проверки руководителем практики отчета по практике с приложенным календарным планом отчет выносится на защиту в случае соответствия его установленным требованиям. </w:t>
      </w:r>
      <w:r>
        <w:rPr>
          <w:rFonts w:cs="Calibri"/>
          <w:bCs/>
          <w:lang w:eastAsia="ar-SA"/>
        </w:rPr>
        <w:t>На основании суммы показателей студент получает зачёт по практике.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Отчет должен быть подписан руководителем.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 xml:space="preserve">К защите не допускаются аспиранты если: 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отчет составлен небрежно, представлен в форме пересказа или прямого списывания с отчетов других магистрантов,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содержание отчета не соответствует выданному заданию;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не подписан руководителем,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дневник не заполнен или небрежно заполнен.</w:t>
      </w:r>
    </w:p>
    <w:p>
      <w:pPr>
        <w:pStyle w:val="Normal"/>
        <w:tabs>
          <w:tab w:val="right" w:pos="9639" w:leader="underscore"/>
        </w:tabs>
        <w:suppressAutoHyphens w:val="true"/>
        <w:ind w:left="0" w:right="0" w:firstLine="709"/>
        <w:jc w:val="both"/>
        <w:rPr>
          <w:bCs/>
          <w:spacing w:val="-3"/>
          <w:lang w:eastAsia="ar-SA"/>
        </w:rPr>
      </w:pPr>
      <w:r>
        <w:rPr>
          <w:bCs/>
          <w:spacing w:val="-3"/>
          <w:lang w:eastAsia="ar-SA"/>
        </w:rPr>
        <w:t xml:space="preserve">Аттестация по итогам практики проводится на основании защиты оформленного отчета и отзыва научного руководителя практики на заседании кафедры. По итогам положительной аттестации выставляется зачет.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Практика оценивается руководителем на основе отчета, составляемого аспирантом, который включает описание всей проделанной работы. Итоговая оценка характеризует следующие результаты:</w:t>
      </w:r>
    </w:p>
    <w:p>
      <w:pPr>
        <w:pStyle w:val="Normal"/>
        <w:ind w:firstLine="709"/>
        <w:jc w:val="both"/>
        <w:rPr/>
      </w:pPr>
      <w:r>
        <w:rPr>
          <w:szCs w:val="28"/>
        </w:rPr>
        <w:t>- понимание целей и задач, стоящих перед современной высшей школой;</w:t>
      </w:r>
    </w:p>
    <w:p>
      <w:pPr>
        <w:pStyle w:val="Normal"/>
        <w:ind w:firstLine="709"/>
        <w:jc w:val="both"/>
        <w:rPr/>
      </w:pPr>
      <w:r>
        <w:rPr>
          <w:szCs w:val="28"/>
        </w:rPr>
        <w:t>- общую подготовку к педагогической деятельности: знание нормативных документов по организации учебно-воспитательного процесса в вузе, владение преподаваемым предметом, культуру речи, умение планировать рабочее время, владение аудиторией и т. д.;</w:t>
      </w:r>
    </w:p>
    <w:p>
      <w:pPr>
        <w:pStyle w:val="Normal"/>
        <w:ind w:firstLine="709"/>
        <w:jc w:val="both"/>
        <w:rPr/>
      </w:pPr>
      <w:r>
        <w:rPr>
          <w:szCs w:val="28"/>
        </w:rPr>
        <w:t>- оценку преподавательской деятельности аспиранта: качество подготовленных методических материалов для проведения занятий, доступность формы изложения, уровень педагогической коммуникации, владение активными методами обучения.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Оценка по педагогической практике заносится в экзаменационную ведомость и приравнивается к оценкам по теоретическому обучению.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Аспиранты, не выполнившие программу практики по неуважительным причинам, или получившие неудовлетворительную оценку, не допускаются к итоговой аттестации по образовательной программе как имеющие академическую задолженность.</w:t>
      </w:r>
    </w:p>
    <w:p>
      <w:pPr>
        <w:pStyle w:val="Normal"/>
        <w:ind w:firstLine="709"/>
        <w:jc w:val="both"/>
        <w:rPr/>
      </w:pPr>
      <w:r>
        <w:rPr>
          <w:szCs w:val="28"/>
        </w:rPr>
        <w:t>Промежуточная аттестация по педагогической практике осуществляется в форме зачета. Зачет по итогам педагогической практики выставляется при условии выполнения соответствующей формы практики и оформления отчета.</w:t>
      </w:r>
    </w:p>
    <w:p>
      <w:pPr>
        <w:pStyle w:val="Normal"/>
        <w:ind w:firstLine="709"/>
        <w:jc w:val="both"/>
        <w:rPr/>
      </w:pPr>
      <w:r>
        <w:rPr>
          <w:szCs w:val="28"/>
        </w:rPr>
        <w:t>Результаты педагогической практики утверждаются на заседании кафедры в период промежуточной аттестации аспирантов.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Критериями оценки результатов практики являются: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- мнение научного руководителя об уровне подготовленности аспиранта;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- степень выполнения программы практики;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- содержание и качество представленной аспирантом отчетной документации;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- уровень знаний, показанный при защите практики на заседании кафедры.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основании отчета  аспирант получает зачёт по практике с выставлением оценок «зачтено», «не зачтено».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 xml:space="preserve">8. УЧЕБНО-МЕТОДИЧЕСКОЕ И ИНФОРМАЦИОННОЕ ОБЕСПЕЧЕНИЕ </w:t>
        <w:br/>
        <w:t xml:space="preserve">ПРАКТИКИ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709"/>
        <w:outlineLvl w:val="0"/>
        <w:rPr/>
      </w:pPr>
      <w:r>
        <w:rPr>
          <w:b/>
          <w:bCs/>
        </w:rPr>
        <w:t xml:space="preserve">а) Основная литература: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outlineLvl w:val="0"/>
        <w:rPr/>
      </w:pPr>
      <w:r>
        <w:rPr/>
        <w:t xml:space="preserve">1. </w:t>
      </w:r>
      <w:r>
        <w:rPr>
          <w:rFonts w:ascii="Liberation Serif" w:hAnsi="Liberation Serif"/>
          <w:sz w:val="24"/>
          <w:szCs w:val="24"/>
        </w:rPr>
        <w:t>Мокий М.С. Методология научных исследований: учебник. М. : Юрайт, 2015. 255 с. (10 экз.).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right" w:pos="9639" w:leader="underscore"/>
        </w:tabs>
        <w:ind w:left="0" w:right="0" w:hanging="0"/>
        <w:jc w:val="both"/>
        <w:outlineLvl w:val="0"/>
        <w:rPr/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  <w:lang w:eastAsia="ko-KR"/>
        </w:rPr>
        <w:t xml:space="preserve">2.Шарипов Ф.В. </w:t>
      </w:r>
      <w:r>
        <w:rPr>
          <w:rFonts w:ascii="Liberation Serif" w:hAnsi="Liberation Serif"/>
          <w:b w:val="false"/>
          <w:bCs w:val="false"/>
          <w:color w:val="auto"/>
          <w:spacing w:val="2"/>
          <w:sz w:val="24"/>
          <w:szCs w:val="24"/>
          <w:lang w:eastAsia="ko-KR"/>
        </w:rPr>
        <w:t xml:space="preserve">Педагогика и психология высшей школы: учебное пособие. М. : Логос, </w:t>
      </w:r>
      <w:r>
        <w:rPr>
          <w:rFonts w:cs="Times New Roman"/>
          <w:b w:val="false"/>
          <w:bCs w:val="false"/>
          <w:color w:val="auto"/>
          <w:spacing w:val="2"/>
          <w:sz w:val="24"/>
          <w:szCs w:val="24"/>
          <w:shd w:fill="auto" w:val="clear"/>
          <w:lang w:eastAsia="ko-KR"/>
        </w:rPr>
        <w:t>2017. - 448 с.</w:t>
      </w:r>
      <w:r>
        <w:rPr>
          <w:rFonts w:ascii="Liberation Serif" w:hAnsi="Liberation Serif"/>
          <w:b w:val="false"/>
          <w:bCs w:val="false"/>
          <w:color w:val="auto"/>
          <w:spacing w:val="2"/>
          <w:sz w:val="24"/>
          <w:szCs w:val="24"/>
          <w:lang w:eastAsia="ko-KR"/>
        </w:rPr>
        <w:t xml:space="preserve">. - </w:t>
      </w:r>
      <w:hyperlink r:id="rId4">
        <w:r>
          <w:rPr>
            <w:rStyle w:val="Style21"/>
            <w:rFonts w:ascii="Liberation Serif" w:hAnsi="Liberation Serif"/>
            <w:b w:val="false"/>
            <w:bCs w:val="false"/>
            <w:color w:val="auto"/>
            <w:spacing w:val="2"/>
            <w:sz w:val="24"/>
            <w:szCs w:val="24"/>
            <w:lang w:eastAsia="ko-KR"/>
          </w:rPr>
          <w:t>http://www.studentlibrary.ru/book/ISBN9785987045879.html</w:t>
        </w:r>
      </w:hyperlink>
      <w:r>
        <w:rPr>
          <w:rFonts w:ascii="Liberation Serif" w:hAnsi="Liberation Serif"/>
          <w:b w:val="false"/>
          <w:bCs w:val="false"/>
          <w:color w:val="auto"/>
          <w:spacing w:val="2"/>
          <w:sz w:val="24"/>
          <w:szCs w:val="24"/>
          <w:lang w:eastAsia="ko-KR"/>
        </w:rPr>
        <w:t xml:space="preserve"> </w:t>
      </w:r>
      <w:r>
        <w:rPr>
          <w:rFonts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>(ЭБС «Консультант студента»).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right" w:pos="9639" w:leader="underscore"/>
        </w:tabs>
        <w:ind w:left="0" w:right="0" w:hanging="0"/>
        <w:jc w:val="both"/>
        <w:outlineLvl w:val="0"/>
        <w:rPr/>
      </w:pPr>
      <w:r>
        <w:rPr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3.Митин А.Н., Основы</w:t>
      </w:r>
      <w:r>
        <w:rPr>
          <w:rStyle w:val="Appleconvertedspace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Style w:val="Hilight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педагогической</w:t>
      </w:r>
      <w:r>
        <w:rPr>
          <w:rStyle w:val="Appleconvertedspace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психологии</w:t>
      </w:r>
      <w:r>
        <w:rPr>
          <w:rStyle w:val="Appleconvertedspace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Style w:val="Hilight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высшей</w:t>
      </w:r>
      <w:r>
        <w:rPr>
          <w:rStyle w:val="Appleconvertedspace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Style w:val="Hilight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школы.</w:t>
      </w:r>
      <w:r>
        <w:rPr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М.: Проспект, 2015. - 192 с.  URL: </w:t>
      </w:r>
      <w:hyperlink r:id="rId5">
        <w:r>
          <w:rPr>
            <w:rStyle w:val="Style21"/>
            <w:rFonts w:cs="Times New Roman"/>
            <w:b w:val="false"/>
            <w:bCs w:val="false"/>
            <w:color w:val="auto"/>
            <w:sz w:val="24"/>
            <w:szCs w:val="24"/>
            <w:lang w:eastAsia="ko-KR"/>
          </w:rPr>
          <w:t>http://www.studentlibrary.ru/book/ISBN9785392163960.html</w:t>
        </w:r>
      </w:hyperlink>
      <w:r>
        <w:rPr>
          <w:rStyle w:val="Style21"/>
          <w:rFonts w:cs="Times New Roman"/>
          <w:b w:val="false"/>
          <w:bCs w:val="false"/>
          <w:color w:val="auto"/>
          <w:sz w:val="24"/>
          <w:szCs w:val="24"/>
          <w:lang w:eastAsia="ko-KR"/>
        </w:rPr>
        <w:t xml:space="preserve"> (</w:t>
      </w:r>
      <w:r>
        <w:rPr>
          <w:rStyle w:val="Style21"/>
          <w:rFonts w:cs="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>ЭБС «Консультант студента»).</w:t>
      </w:r>
    </w:p>
    <w:p>
      <w:pPr>
        <w:pStyle w:val="11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left="0" w:right="0" w:hanging="0"/>
        <w:jc w:val="both"/>
        <w:outlineLvl w:val="0"/>
        <w:rPr/>
      </w:pPr>
      <w:r>
        <w:rPr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>4.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Сольницев Р.И., Коршунов Г.И. Системы</w:t>
      </w:r>
      <w:r>
        <w:rPr>
          <w:rStyle w:val="Appleconvertedspace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 </w:t>
      </w:r>
      <w:r>
        <w:rPr>
          <w:rStyle w:val="Hilight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управления</w:t>
      </w:r>
      <w:r>
        <w:rPr>
          <w:rStyle w:val="Appleconvertedspace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 «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природа-техногеника».СПб.: Политехника, 2013.URL:</w:t>
      </w:r>
      <w:hyperlink r:id="rId6">
        <w:r>
          <w:rPr>
            <w:rStyle w:val="Style21"/>
            <w:rFonts w:cs="LatoWeb;Times New Roman" w:ascii="Liberation Serif" w:hAnsi="Liberation Serif"/>
            <w:b w:val="false"/>
            <w:bCs w:val="false"/>
            <w:iCs/>
            <w:spacing w:val="2"/>
            <w:sz w:val="24"/>
            <w:szCs w:val="24"/>
            <w:highlight w:val="white"/>
            <w:lang w:eastAsia="ko-KR"/>
          </w:rPr>
          <w:t>http://www.studentlibrary.ru/book/ISBN9785732510133.html</w:t>
        </w:r>
      </w:hyperlink>
      <w:r>
        <w:rPr>
          <w:rStyle w:val="Style21"/>
          <w:rFonts w:cs="LatoWeb;Times New Roman" w:ascii="Liberation Serif" w:hAnsi="Liberation Serif"/>
          <w:b w:val="false"/>
          <w:bCs w:val="false"/>
          <w:iCs/>
          <w:spacing w:val="2"/>
          <w:sz w:val="24"/>
          <w:szCs w:val="24"/>
          <w:highlight w:val="white"/>
          <w:lang w:eastAsia="ko-KR"/>
        </w:rPr>
        <w:t xml:space="preserve"> (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 xml:space="preserve">ЭБС 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«Консультант студента»).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outlineLvl w:val="0"/>
        <w:rPr/>
      </w:pPr>
      <w:r>
        <w:rPr>
          <w:rStyle w:val="Style21"/>
          <w:rFonts w:cs="LatoWeb;Times New Roman" w:ascii="Liberation Serif" w:hAnsi="Liberation Serif"/>
          <w:color w:val="auto"/>
          <w:sz w:val="24"/>
          <w:szCs w:val="24"/>
          <w:u w:val="none"/>
        </w:rPr>
        <w:t>5.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Щепанский И.С., Настольная книга молодого ученого. М. : Проспект, 2017. - 288 с. URL : </w:t>
      </w:r>
      <w:hyperlink r:id="rId7">
        <w:r>
          <w:rPr>
            <w:rStyle w:val="Style21"/>
            <w:rFonts w:cs="LatoWeb;Times New Roman" w:ascii="Liberation Serif" w:hAnsi="Liberation Serif"/>
            <w:b w:val="false"/>
            <w:bCs w:val="false"/>
            <w:iCs/>
            <w:spacing w:val="2"/>
            <w:sz w:val="24"/>
            <w:szCs w:val="24"/>
            <w:lang w:eastAsia="ko-KR"/>
          </w:rPr>
          <w:t>http://www.studentlibrary.ru/book/ISBN9785392218196.html</w:t>
        </w:r>
      </w:hyperlink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 (ЭБС «Консультант студента»).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outlineLvl w:val="0"/>
        <w:rPr>
          <w:rStyle w:val="Style21"/>
          <w:rFonts w:ascii="Liberation Serif" w:hAnsi="Liberation Serif" w:cs="LatoWeb;Times New Roman"/>
          <w:color w:val="auto"/>
          <w:sz w:val="24"/>
          <w:szCs w:val="24"/>
          <w:u w:val="none"/>
        </w:rPr>
      </w:pPr>
      <w:r>
        <w:rPr>
          <w:rFonts w:cs="LatoWeb;Times New Roman" w:ascii="Liberation Serif" w:hAnsi="Liberation Serif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outlineLvl w:val="0"/>
        <w:rPr>
          <w:rStyle w:val="Style21"/>
          <w:rFonts w:ascii="Liberation Serif" w:hAnsi="Liberation Serif" w:cs="LatoWeb;Times New Roman"/>
          <w:color w:val="auto"/>
          <w:sz w:val="24"/>
          <w:szCs w:val="24"/>
          <w:u w:val="none"/>
        </w:rPr>
      </w:pPr>
      <w:r>
        <w:rPr>
          <w:rFonts w:cs="LatoWeb;Times New Roman" w:ascii="Liberation Serif" w:hAnsi="Liberation Serif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360" w:hanging="0"/>
        <w:jc w:val="both"/>
        <w:outlineLvl w:val="2"/>
        <w:rPr>
          <w:rStyle w:val="Style21"/>
          <w:rFonts w:ascii="Liberation Serif" w:hAnsi="Liberation Serif" w:cs="LatoWeb;Times New Roman"/>
          <w:b/>
          <w:b/>
          <w:bCs/>
          <w:color w:val="auto"/>
          <w:spacing w:val="2"/>
          <w:sz w:val="24"/>
          <w:szCs w:val="24"/>
          <w:u w:val="none"/>
        </w:rPr>
      </w:pPr>
      <w:r>
        <w:rPr>
          <w:rFonts w:cs="LatoWeb;Times New Roman" w:ascii="Liberation Serif" w:hAnsi="Liberation Serif"/>
          <w:b/>
          <w:bCs/>
          <w:color w:val="auto"/>
          <w:spacing w:val="2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709"/>
        <w:outlineLvl w:val="0"/>
        <w:rPr>
          <w:rFonts w:ascii="Liberation Serif" w:hAnsi="Liberation Serif"/>
          <w:b w:val="false"/>
          <w:b w:val="false"/>
          <w:bCs w:val="false"/>
          <w:iCs/>
          <w:spacing w:val="2"/>
          <w:sz w:val="24"/>
          <w:szCs w:val="24"/>
        </w:rPr>
      </w:pPr>
      <w:r>
        <w:rPr>
          <w:rFonts w:ascii="Liberation Serif" w:hAnsi="Liberation Serif"/>
          <w:b w:val="false"/>
          <w:bCs w:val="false"/>
          <w:iCs/>
          <w:spacing w:val="2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hanging="0"/>
        <w:jc w:val="both"/>
        <w:outlineLvl w:val="0"/>
        <w:rPr/>
      </w:pPr>
      <w:r>
        <w:rPr>
          <w:rStyle w:val="Style21"/>
          <w:rFonts w:cs="LatoWeb;Times New Roman" w:ascii="Liberation Serif" w:hAnsi="Liberation Serif"/>
          <w:i w:val="false"/>
          <w:iCs w:val="false"/>
          <w:color w:val="auto"/>
          <w:sz w:val="24"/>
          <w:szCs w:val="24"/>
          <w:u w:val="none"/>
        </w:rPr>
        <w:t>6.Комлацкий В.И., Логинов С.В., Комлацкий Г.В. Планирование и организация</w:t>
      </w:r>
      <w:r>
        <w:rPr>
          <w:rStyle w:val="Appleconvertedspace"/>
          <w:rFonts w:cs="LatoWeb;Times New Roman" w:ascii="Liberation Serif" w:hAnsi="Liberation Serif"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Style w:val="Hilight"/>
          <w:rFonts w:cs="LatoWeb;Times New Roman" w:ascii="Liberation Serif" w:hAnsi="Liberation Serif"/>
          <w:i w:val="false"/>
          <w:iCs w:val="false"/>
          <w:color w:val="auto"/>
          <w:sz w:val="24"/>
          <w:szCs w:val="24"/>
          <w:u w:val="none"/>
        </w:rPr>
        <w:t>научных исследований.</w:t>
      </w:r>
      <w:r>
        <w:rPr>
          <w:rStyle w:val="Style21"/>
          <w:rFonts w:cs="LatoWeb;Times New Roman" w:ascii="Liberation Serif" w:hAnsi="Liberation Serif"/>
          <w:i w:val="false"/>
          <w:iCs w:val="false"/>
          <w:color w:val="auto"/>
          <w:sz w:val="24"/>
          <w:szCs w:val="24"/>
          <w:u w:val="none"/>
        </w:rPr>
        <w:t xml:space="preserve">Ростовн/Д.: Феникс, 2014. </w:t>
      </w:r>
      <w:r>
        <w:rPr>
          <w:rStyle w:val="Style21"/>
          <w:rFonts w:cs="LatoWeb;Times New Roman" w:ascii="Liberation Serif" w:hAnsi="Liberation Serif"/>
          <w:b w:val="false"/>
          <w:bCs w:val="false"/>
          <w:i w:val="false"/>
          <w:iCs w:val="false"/>
          <w:color w:val="auto"/>
          <w:sz w:val="24"/>
          <w:szCs w:val="24"/>
          <w:u w:val="none"/>
          <w:lang w:eastAsia="ko-KR"/>
        </w:rPr>
        <w:t>URL:</w:t>
      </w:r>
      <w:hyperlink r:id="rId8">
        <w:r>
          <w:rPr>
            <w:rStyle w:val="Style21"/>
            <w:rFonts w:cs="LatoWeb;Times New Roman" w:ascii="Liberation Serif" w:hAnsi="Liberation Serif"/>
            <w:b w:val="false"/>
            <w:bCs w:val="false"/>
            <w:i w:val="false"/>
            <w:iCs w:val="false"/>
            <w:color w:val="auto"/>
            <w:sz w:val="24"/>
            <w:szCs w:val="24"/>
            <w:u w:val="none"/>
            <w:lang w:eastAsia="ko-KR"/>
          </w:rPr>
          <w:t>http://www.studentlibrary.ru/book/ISBN9785222218402.html</w:t>
        </w:r>
      </w:hyperlink>
      <w:r>
        <w:rPr>
          <w:rStyle w:val="Style21"/>
          <w:rFonts w:cs="LatoWeb;Times New Roman" w:ascii="Liberation Serif" w:hAnsi="Liberation Serif"/>
          <w:b w:val="false"/>
          <w:bCs w:val="false"/>
          <w:i w:val="false"/>
          <w:iCs w:val="false"/>
          <w:color w:val="auto"/>
          <w:sz w:val="24"/>
          <w:szCs w:val="24"/>
          <w:u w:val="none"/>
          <w:lang w:eastAsia="ko-KR"/>
        </w:rPr>
        <w:t xml:space="preserve"> (ЭБС «Консультант студента»).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jc w:val="both"/>
        <w:outlineLvl w:val="1"/>
        <w:rPr/>
      </w:pPr>
      <w:r>
        <w:rPr>
          <w:b/>
          <w:bCs/>
        </w:rPr>
        <w:t xml:space="preserve">б) Дополнительная литература: </w:t>
      </w:r>
    </w:p>
    <w:p>
      <w:pPr>
        <w:pStyle w:val="11"/>
        <w:shd w:val="clear" w:color="auto" w:fill="FFFFFF"/>
        <w:tabs>
          <w:tab w:val="left" w:pos="480" w:leader="none"/>
          <w:tab w:val="left" w:pos="1134" w:leader="none"/>
        </w:tabs>
        <w:rPr/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  <w:t>1.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eastAsia="ko-KR"/>
        </w:rPr>
        <w:t>Безопасность жизнедеятельности. Безопасность в чрезвычайных ситуациях природного и техногенного характера: учебное пособие. М. : Высш. шк., 2007. - 592 с. -  (10 экз)</w:t>
      </w:r>
    </w:p>
    <w:p>
      <w:pPr>
        <w:pStyle w:val="11"/>
        <w:shd w:val="clear" w:color="auto" w:fill="FFFFFF"/>
        <w:tabs>
          <w:tab w:val="left" w:pos="480" w:leader="none"/>
          <w:tab w:val="left" w:pos="1134" w:leader="none"/>
        </w:tabs>
        <w:rPr/>
      </w:pPr>
      <w:r>
        <w:rPr>
          <w:szCs w:val="24"/>
        </w:rPr>
        <w:t xml:space="preserve">2. </w:t>
      </w:r>
      <w:r>
        <w:rPr>
          <w:sz w:val="24"/>
          <w:szCs w:val="24"/>
        </w:rPr>
        <w:t>Феоктистова О.Г. Безопасность жизнедеятельности (медико-биологические основы): учебное пособие. Ростов н/Д: Феникс, 2006. - 320 с. (1экз).</w:t>
      </w:r>
    </w:p>
    <w:p>
      <w:pPr>
        <w:pStyle w:val="11"/>
        <w:shd w:val="clear" w:color="auto" w:fill="FFFFFF"/>
        <w:tabs>
          <w:tab w:val="left" w:pos="480" w:leader="none"/>
          <w:tab w:val="left" w:pos="1134" w:leader="none"/>
        </w:tabs>
        <w:rPr/>
      </w:pPr>
      <w:r>
        <w:rPr>
          <w:szCs w:val="24"/>
        </w:rPr>
        <w:t>3.</w:t>
      </w:r>
      <w:r>
        <w:rPr>
          <w:b w:val="false"/>
          <w:bCs w:val="false"/>
          <w:color w:val="auto"/>
          <w:szCs w:val="24"/>
          <w:lang w:eastAsia="ko-KR"/>
        </w:rPr>
        <w:t>Гончаренко Л.П. Управление безопасностью : учебное пособие. - М. : КНОРУС, 2005. - 272 с. (1 экз).</w:t>
      </w:r>
    </w:p>
    <w:p>
      <w:pPr>
        <w:pStyle w:val="11"/>
        <w:shd w:val="clear" w:color="auto" w:fill="FFFFFF"/>
        <w:tabs>
          <w:tab w:val="left" w:pos="480" w:leader="none"/>
          <w:tab w:val="left" w:pos="1134" w:leader="none"/>
        </w:tabs>
        <w:ind w:left="0" w:right="0" w:hanging="0"/>
        <w:jc w:val="both"/>
        <w:rPr/>
      </w:pPr>
      <w:r>
        <w:rPr>
          <w:b w:val="false"/>
          <w:bCs w:val="false"/>
          <w:color w:val="auto"/>
          <w:spacing w:val="2"/>
          <w:sz w:val="24"/>
          <w:szCs w:val="24"/>
          <w:lang w:eastAsia="ko-KR"/>
        </w:rPr>
        <w:t>4. Белов, С.В. Безопасность жизнедеятельности и защита окружающей среды: учебник. М. : Юрайт, 2014. - 702 с. (10 экз.).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right" w:pos="9639" w:leader="underscore"/>
        </w:tabs>
        <w:ind w:left="0" w:right="0" w:hanging="0"/>
        <w:jc w:val="both"/>
        <w:outlineLvl w:val="0"/>
        <w:rPr/>
      </w:pPr>
      <w:r>
        <w:rPr>
          <w:rStyle w:val="Style21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5. Столяренко Л.Д.</w:t>
      </w:r>
      <w:r>
        <w:rPr>
          <w:rStyle w:val="Appleconvertedspace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shd w:fill="auto" w:val="clear"/>
          <w:lang w:eastAsia="ko-KR"/>
        </w:rPr>
        <w:t xml:space="preserve"> </w:t>
      </w:r>
      <w:r>
        <w:rPr>
          <w:rStyle w:val="Hilight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shd w:fill="auto" w:val="clear"/>
          <w:lang w:eastAsia="ko-KR"/>
        </w:rPr>
        <w:t>Педагогика</w:t>
      </w:r>
      <w:r>
        <w:rPr>
          <w:rStyle w:val="Appleconvertedspace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shd w:fill="auto" w:val="clear"/>
          <w:lang w:eastAsia="ko-KR"/>
        </w:rPr>
        <w:t xml:space="preserve"> </w:t>
      </w:r>
      <w:r>
        <w:rPr>
          <w:rStyle w:val="Style21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в вопросах и ответах: учебное пособие М. : Проспект, 2016. - 160 с. URL : </w:t>
      </w:r>
      <w:hyperlink r:id="rId9">
        <w:r>
          <w:rPr>
            <w:rStyle w:val="Style21"/>
            <w:rFonts w:cs="Times New Roman"/>
            <w:b w:val="false"/>
            <w:bCs w:val="false"/>
            <w:iCs/>
            <w:color w:val="auto"/>
            <w:spacing w:val="2"/>
            <w:sz w:val="24"/>
            <w:szCs w:val="24"/>
            <w:lang w:eastAsia="ko-KR"/>
          </w:rPr>
          <w:t>http://www.studentlibrary.ru/book/ISBN9785392175130.html</w:t>
        </w:r>
      </w:hyperlink>
      <w:r>
        <w:rPr>
          <w:rStyle w:val="Appleconvertedspace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shd w:fill="auto" w:val="clear"/>
          <w:lang w:eastAsia="ko-KR"/>
        </w:rPr>
        <w:t xml:space="preserve"> 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 xml:space="preserve">(ЭБС 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«Консультант студента»).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/>
      </w:pP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  <w:lang w:eastAsia="ko-KR"/>
        </w:rPr>
        <w:t xml:space="preserve">6. Ильин Г.Л. Инновации в </w:t>
      </w:r>
      <w:r>
        <w:rPr>
          <w:rStyle w:val="Hilight"/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  <w:lang w:eastAsia="ko-KR"/>
        </w:rPr>
        <w:t>образовании</w:t>
      </w: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  <w:lang w:eastAsia="ko-KR"/>
        </w:rPr>
        <w:t>: Учебное пособие. М. : Прометей, 2015. - 425 с. URL:</w:t>
      </w:r>
      <w:hyperlink r:id="rId10">
        <w:r>
          <w:rPr>
            <w:rStyle w:val="Style21"/>
            <w:rFonts w:cs="LatoWeb;Times New Roman" w:ascii="Liberation Serif" w:hAnsi="Liberation Serif"/>
            <w:b w:val="false"/>
            <w:bCs w:val="false"/>
            <w:i w:val="false"/>
            <w:caps w:val="false"/>
            <w:smallCaps w:val="false"/>
            <w:color w:val="auto"/>
            <w:spacing w:val="0"/>
            <w:sz w:val="24"/>
            <w:szCs w:val="24"/>
            <w:u w:val="none"/>
            <w:lang w:eastAsia="ko-KR"/>
          </w:rPr>
          <w:t>http://www.studentlibrary.ru/book/ISBN9785704225423.html</w:t>
        </w:r>
      </w:hyperlink>
      <w:r>
        <w:rPr>
          <w:rStyle w:val="Style21"/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eastAsia="ko-KR"/>
        </w:rPr>
        <w:t xml:space="preserve"> (ЭБС «Консультант студента»).</w:t>
      </w:r>
    </w:p>
    <w:p>
      <w:pPr>
        <w:pStyle w:val="Normal"/>
        <w:widowControl/>
        <w:shd w:val="clear" w:color="auto" w:fill="FFFFFF"/>
        <w:tabs>
          <w:tab w:val="left" w:pos="480" w:leader="none"/>
          <w:tab w:val="left" w:pos="1134" w:leader="none"/>
        </w:tabs>
        <w:ind w:left="0" w:right="0" w:hanging="0"/>
        <w:jc w:val="both"/>
        <w:rPr/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>7. Илюшов Н. Я. Прогнозирование чрезвычайных ситуаций. Прогнозирование последствий наводнений:  Н. : Новосибирский государственный технический университет, 2019 . URL:</w:t>
      </w:r>
      <w:hyperlink r:id="rId11">
        <w:r>
          <w:rPr>
            <w:rStyle w:val="Style21"/>
            <w:rFonts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lang w:eastAsia="ko-KR"/>
          </w:rPr>
          <w:t>http://www.iprbookshop.ru/98809.html</w:t>
        </w:r>
      </w:hyperlink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 xml:space="preserve"> </w:t>
      </w: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 xml:space="preserve">(ЭБС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 w:eastAsia="ru-RU"/>
        </w:rPr>
        <w:t>IPRbooks</w:t>
      </w: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>).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/>
      </w:pP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 xml:space="preserve">8.Андрияшина, Т. В. Устойчивость объектов экономики в чрезвычайных ситуациях. Казань : Казанский национальный исследовательский технологический университет, 2014. URL: </w:t>
      </w:r>
      <w:hyperlink r:id="rId12">
        <w:r>
          <w:rPr>
            <w:rStyle w:val="Style21"/>
            <w:rFonts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lang w:eastAsia="ko-KR"/>
          </w:rPr>
          <w:t>http://www.iprbookshop.ru/63520.html</w:t>
        </w:r>
      </w:hyperlink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 xml:space="preserve"> (</w:t>
      </w: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>ЭБС IPR BOOKS).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>
          <w:rStyle w:val="Style21"/>
          <w:rFonts w:ascii="Liberation Serif" w:hAnsi="Liberation Serif" w:cs="LatoWeb;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  <w:sz w:val="24"/>
          <w:szCs w:val="24"/>
          <w:highlight w:val="white"/>
          <w:lang w:eastAsia="ko-KR"/>
        </w:rPr>
      </w:pP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spacing w:val="0"/>
          <w:sz w:val="24"/>
          <w:szCs w:val="24"/>
          <w:highlight w:val="white"/>
          <w:lang w:eastAsia="ko-KR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>
          <w:rStyle w:val="Style21"/>
          <w:rFonts w:ascii="Liberation Serif" w:hAnsi="Liberation Serif" w:cs="LatoWeb;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eastAsia="ko-KR"/>
        </w:rPr>
      </w:pP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eastAsia="ko-KR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>
          <w:b/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«Интернет», необходимый для прохождения практики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top"/>
        <w:rPr/>
      </w:pPr>
      <w:r>
        <w:rPr>
          <w:rFonts w:eastAsia="Calibri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Электронно-библиотечная система (ЭБС) ООО «Политехресурс» «Консультант студента»</w:t>
      </w:r>
      <w:hyperlink r:id="rId13">
        <w:r>
          <w:rPr>
            <w:rStyle w:val="ListLabel3"/>
            <w:rFonts w:eastAsia="Times New Roman" w:cs="Times New Roman"/>
            <w:b/>
            <w:bCs/>
            <w:i w:val="false"/>
            <w:caps w:val="false"/>
            <w:smallCaps w:val="false"/>
            <w:color w:val="0000FF"/>
            <w:spacing w:val="0"/>
            <w:sz w:val="24"/>
            <w:szCs w:val="24"/>
            <w:u w:val="single"/>
            <w:lang w:eastAsia="ru-RU"/>
          </w:rPr>
          <w:t>www.studentlibrary.ru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. 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top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Электронная библиотечная система </w:t>
      </w:r>
      <w:bookmarkStart w:id="3" w:name="__DdeLink__11689_2226296298"/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n-US" w:eastAsia="ru-RU"/>
        </w:rPr>
        <w:t>IPRbooks</w:t>
      </w:r>
      <w:bookmarkEnd w:id="3"/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. </w:t>
      </w:r>
      <w:hyperlink r:id="rId14"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en-US" w:eastAsia="ru-RU"/>
          </w:rPr>
          <w:t>www</w:t>
        </w:r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eastAsia="ru-RU"/>
          </w:rPr>
          <w:t>.</w:t>
        </w:r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en-US" w:eastAsia="ru-RU"/>
          </w:rPr>
          <w:t>iprbookshop</w:t>
        </w:r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eastAsia="ru-RU"/>
          </w:rPr>
          <w:t>.</w:t>
        </w:r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FF0000"/>
          <w:spacing w:val="0"/>
          <w:sz w:val="24"/>
          <w:szCs w:val="24"/>
          <w:lang w:eastAsia="ru-RU"/>
        </w:rPr>
        <w:t xml:space="preserve">  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left" w:pos="993" w:leader="none"/>
        </w:tabs>
        <w:suppressAutoHyphens w:val="true"/>
        <w:spacing w:lineRule="auto" w:line="240" w:before="0" w:after="0"/>
        <w:ind w:left="720" w:hanging="0"/>
        <w:jc w:val="both"/>
        <w:textAlignment w:val="top"/>
        <w:rPr>
          <w:rStyle w:val="Style21"/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FF0000"/>
          <w:spacing w:val="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FF0000"/>
          <w:spacing w:val="0"/>
          <w:sz w:val="24"/>
          <w:szCs w:val="24"/>
          <w:u w:val="single"/>
          <w:lang w:val="en-US" w:eastAsia="ru-RU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both"/>
        <w:outlineLvl w:val="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>
          <w:b/>
          <w:bCs/>
        </w:rPr>
        <w:t xml:space="preserve">9. </w:t>
      </w:r>
      <w:r>
        <w:rPr>
          <w:b/>
        </w:rPr>
        <w:t>ПЕРЕЧЕНЬ ИНФОРМАЦИОННЫХ ТЕХНОЛОГИЙ, ИСПОЛЬЗУЕМЫХ ПРИ ПРОВЕДЕНИИ ПРАКТИКИ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/>
          <w:bCs/>
        </w:rPr>
        <w:t>9.1. Информационные технологии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возможностей электронной почты преподавателя;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средств представления учебной информации (электронных учебных пособий и практикумов, презентаций и т.д.);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Cs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/>
          <w:bCs/>
        </w:rPr>
        <w:t xml:space="preserve">9.2. Перечень программного обеспечения и информационных справочных систем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before="240" w:after="120"/>
        <w:jc w:val="both"/>
        <w:outlineLvl w:val="1"/>
        <w:rPr/>
      </w:pPr>
      <w:r>
        <w:rPr>
          <w:rFonts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>
      <w:pPr>
        <w:pStyle w:val="Normal"/>
        <w:widowControl/>
        <w:numPr>
          <w:ilvl w:val="0"/>
          <w:numId w:val="0"/>
        </w:numPr>
        <w:shd w:val="clear" w:fill="FFFFFF"/>
        <w:tabs>
          <w:tab w:val="right" w:pos="9639" w:leader="underscore"/>
        </w:tabs>
        <w:spacing w:lineRule="auto" w:line="240" w:before="0" w:after="0"/>
        <w:ind w:left="0" w:right="0" w:hanging="0"/>
        <w:jc w:val="center"/>
        <w:outlineLvl w:val="1"/>
        <w:rPr>
          <w:b/>
          <w:b/>
          <w:bCs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4"/>
          <w:highlight w:val="white"/>
          <w:lang w:eastAsia="ru-RU"/>
        </w:rPr>
        <w:t>2020-2021 уч.г.</w:t>
      </w:r>
    </w:p>
    <w:p>
      <w:pPr>
        <w:pStyle w:val="Normal"/>
        <w:widowControl/>
        <w:numPr>
          <w:ilvl w:val="0"/>
          <w:numId w:val="0"/>
        </w:numPr>
        <w:shd w:val="clear" w:fill="FFFFFF"/>
        <w:tabs>
          <w:tab w:val="right" w:pos="9639" w:leader="underscore"/>
        </w:tabs>
        <w:spacing w:lineRule="auto" w:line="240" w:before="0" w:after="0"/>
        <w:ind w:left="0" w:right="0" w:hanging="0"/>
        <w:jc w:val="center"/>
        <w:outlineLvl w:val="1"/>
        <w:rPr>
          <w:rFonts w:eastAsia="Times New Roman" w:cs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4"/>
          <w:highlight w:val="white"/>
          <w:lang w:eastAsia="ru-RU"/>
        </w:rPr>
      </w:pPr>
      <w:r>
        <w:rPr>
          <w:rFonts w:eastAsia="Times New Roman" w:cs="Times New Roman"/>
          <w:i w:val="false"/>
          <w:caps w:val="false"/>
          <w:smallCaps w:val="false"/>
          <w:color w:val="000000"/>
          <w:spacing w:val="0"/>
          <w:sz w:val="28"/>
          <w:szCs w:val="24"/>
          <w:highlight w:val="white"/>
          <w:lang w:eastAsia="ru-RU"/>
        </w:rPr>
      </w:r>
    </w:p>
    <w:tbl>
      <w:tblPr>
        <w:tblStyle w:val="1"/>
        <w:tblW w:w="5000" w:type="pct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20" w:noHBand="0" w:lastColumn="0" w:firstColumn="0" w:lastRow="0" w:firstRow="1"/>
      </w:tblPr>
      <w:tblGrid>
        <w:gridCol w:w="3674"/>
        <w:gridCol w:w="5963"/>
      </w:tblGrid>
      <w:tr>
        <w:trPr/>
        <w:tc>
          <w:tcPr>
            <w:tcW w:w="3674" w:type="dxa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Наименование программного обеспечения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Назначение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Adobe Reader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просмотра электронных документов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 xml:space="preserve">MathCad 14 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>
        <w:trPr/>
        <w:tc>
          <w:tcPr>
            <w:tcW w:w="3674" w:type="dxa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jc w:val="left"/>
              <w:rPr>
                <w:rFonts w:ascii="Calibri" w:hAnsi="Calibri"/>
                <w:color w:val="auto"/>
                <w:kern w:val="0"/>
              </w:rPr>
            </w:pPr>
            <w:r>
              <w:rPr>
                <w:rFonts w:eastAsia="Times New Roman" w:cs="Times New Roman" w:ascii="Calibri" w:hAnsi="Calibri"/>
                <w:b/>
                <w:bCs w:val="false"/>
                <w:color w:val="auto"/>
                <w:kern w:val="0"/>
                <w:sz w:val="24"/>
                <w:szCs w:val="22"/>
                <w:u w:val="single"/>
                <w:lang w:eastAsia="ru-RU" w:bidi="ar-SA"/>
              </w:rPr>
              <w:t xml:space="preserve">Платформа дистанционного обучения </w:t>
            </w:r>
            <w:r>
              <w:rPr>
                <w:rFonts w:cs="Times New Roman" w:ascii="Calibri" w:hAnsi="Calibri"/>
                <w:b/>
                <w:bCs w:val="false"/>
                <w:color w:val="auto"/>
                <w:kern w:val="0"/>
                <w:sz w:val="24"/>
                <w:szCs w:val="22"/>
                <w:u w:val="single"/>
                <w:lang w:eastAsia="ru-RU" w:bidi="ar-SA"/>
              </w:rPr>
              <w:t xml:space="preserve">LМS </w:t>
            </w:r>
            <w:r>
              <w:rPr>
                <w:rFonts w:eastAsia="Times New Roman" w:cs="Times New Roman" w:ascii="Calibri" w:hAnsi="Calibri"/>
                <w:b/>
                <w:bCs w:val="false"/>
                <w:color w:val="auto"/>
                <w:kern w:val="0"/>
                <w:sz w:val="24"/>
                <w:szCs w:val="22"/>
                <w:u w:val="single"/>
                <w:lang w:val="en-US" w:eastAsia="ru-RU" w:bidi="ar-SA"/>
              </w:rPr>
              <w:t>Moodle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Виртуальная обучающая среда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1С: Предприятие 8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автоматизации деятельности на предприятии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Mozilla FireFox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Браузер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 xml:space="preserve">Microsoft Office 2013, </w:t>
            </w:r>
          </w:p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Microsoft Office Project 2013, Microsoft Office Visio 2013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офисных программ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7-zip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Архиватор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Microsoft Windows 7 Professional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Операционная система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Kaspersky Endpoint Security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Средство антивирусной защиты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KOMPAS-3D V13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Blender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Средство создания трехмерной компьютерной графики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Cisco Packet Tracer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Инструмент моделирования компьютерных сетей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Google Chrome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Браузер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CodeBlocks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Calibri" w:hAnsi="Calibri"/>
                <w:color w:val="auto"/>
                <w:kern w:val="0"/>
              </w:rPr>
            </w:pPr>
            <w:r>
              <w:rPr>
                <w:rFonts w:eastAsia="Times New Roman" w:cs="Times New Roman" w:ascii="Calibri" w:hAnsi="Calibri"/>
                <w:b/>
                <w:bCs w:val="false"/>
                <w:color w:val="auto"/>
                <w:kern w:val="0"/>
                <w:sz w:val="24"/>
                <w:szCs w:val="22"/>
                <w:u w:val="single"/>
                <w:lang w:eastAsia="ru-RU" w:bidi="ar-SA"/>
              </w:rPr>
              <w:t>К</w:t>
            </w:r>
            <w:r>
              <w:rPr>
                <w:rFonts w:eastAsia="Times New Roman" w:cs="Times New Roman" w:ascii="Calibri" w:hAnsi="Calibri"/>
                <w:b/>
                <w:bCs w:val="false"/>
                <w:color w:val="auto"/>
                <w:kern w:val="0"/>
                <w:sz w:val="24"/>
                <w:szCs w:val="22"/>
                <w:u w:val="single"/>
                <w:lang w:val="en-US" w:eastAsia="ru-RU" w:bidi="ar-SA"/>
              </w:rPr>
              <w:t>россплатформенная 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Eclipse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Far Manager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Файловый менеджер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Lazarus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Notepad++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Текстовый редактор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OpenOffice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офисных программ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Opera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Браузер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Paint .NET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Растровый графический редактор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PascalABC.NET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PyCharm EDU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Calibri" w:hAnsi="Calibri"/>
                <w:color w:val="auto"/>
                <w:kern w:val="0"/>
              </w:rPr>
            </w:pPr>
            <w:r>
              <w:rPr>
                <w:rFonts w:eastAsia="Times New Roman" w:cs="Times New Roman" w:ascii="Calibri" w:hAnsi="Calibri"/>
                <w:b/>
                <w:bCs w:val="false"/>
                <w:color w:val="auto"/>
                <w:kern w:val="0"/>
                <w:sz w:val="24"/>
                <w:szCs w:val="22"/>
                <w:u w:val="single"/>
                <w:lang w:eastAsia="ru-RU" w:bidi="ar-SA"/>
              </w:rPr>
              <w:t>П</w:t>
            </w:r>
            <w:r>
              <w:rPr>
                <w:rFonts w:eastAsia="Times New Roman" w:cs="Times New Roman" w:ascii="Calibri" w:hAnsi="Calibri"/>
                <w:b/>
                <w:bCs w:val="false"/>
                <w:color w:val="auto"/>
                <w:kern w:val="0"/>
                <w:sz w:val="24"/>
                <w:szCs w:val="22"/>
                <w:u w:val="single"/>
                <w:lang w:val="en-US" w:eastAsia="ru-RU" w:bidi="ar-SA"/>
              </w:rPr>
              <w:t>рограммная среда вычислений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Scilab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прикладных математических программ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Sofa Stats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Программное обеспечение для статистики, анализа и отчетности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VirtualBox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Программный продукт виртуализации операционных систем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VLC Player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Медиапроигрыватель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VMware (Player)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Программный продукт виртуализации операционных систем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WinDjView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просмотра файлов в формате DJV и DjVu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Maple 18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компьютерной алгебры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MATLAB R2014a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прикладных программ для решения задач технических вычислений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Microsoft Visual Studio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Oracle SQL Developer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VISSIM 6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имитационного моделирования дорожного движения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VISUM 14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моделирования транспортных потоков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IBM SPSS Statistics 21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статистической обработки данных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ObjectLand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Геоинформационная система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КРЕДО ТОПОГРАФ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Геоинформационная система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Полигон Про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кадастровых работ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4"/>
                <w:szCs w:val="22"/>
                <w:u w:val="none"/>
                <w:lang w:val="en-US" w:eastAsia="ru-RU" w:bidi="ar-SA"/>
              </w:rPr>
              <w:t xml:space="preserve">Microsoft Security Assessment Tool.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4"/>
                <w:szCs w:val="22"/>
                <w:u w:val="none"/>
                <w:lang w:eastAsia="ru-RU" w:bidi="ar-SA"/>
              </w:rPr>
              <w:t>Режим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4"/>
                <w:szCs w:val="22"/>
                <w:u w:val="none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4"/>
                <w:szCs w:val="22"/>
                <w:u w:val="none"/>
                <w:lang w:eastAsia="ru-RU" w:bidi="ar-SA"/>
              </w:rPr>
              <w:t>доступа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4"/>
                <w:szCs w:val="22"/>
                <w:u w:val="none"/>
                <w:lang w:val="en-US" w:eastAsia="ru-RU" w:bidi="ar-SA"/>
              </w:rPr>
              <w:t>: http://www.microsoft.com/ru-ru/download/details.aspx?id=12273 (Free)</w:t>
            </w:r>
          </w:p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cs="Times New Roman" w:ascii="Calibri" w:hAnsi="Calibri"/>
                <w:b w:val="false"/>
                <w:bCs w:val="false"/>
                <w:color w:val="auto"/>
                <w:kern w:val="0"/>
                <w:sz w:val="24"/>
                <w:szCs w:val="22"/>
                <w:u w:val="none"/>
                <w:lang w:val="en-US" w:eastAsia="ru-RU" w:bidi="ar-SA"/>
              </w:rPr>
              <w:t xml:space="preserve">Windows Security Risk Management Guide Tools and Templates. </w:t>
            </w:r>
            <w:r>
              <w:rPr>
                <w:rFonts w:cs="Times New Roman" w:ascii="Calibri" w:hAnsi="Calibri"/>
                <w:b w:val="false"/>
                <w:bCs w:val="false"/>
                <w:color w:val="auto"/>
                <w:kern w:val="0"/>
                <w:sz w:val="24"/>
                <w:szCs w:val="22"/>
                <w:u w:val="none"/>
                <w:lang w:eastAsia="ru-RU" w:bidi="ar-SA"/>
              </w:rPr>
              <w:t>Режим доступа: http://www.microsoft.com/en-us/download/details.aspx?id=6232 (Free)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Программы для информационной безопасности</w:t>
            </w:r>
            <w:bookmarkStart w:id="4" w:name="_GoBack1"/>
            <w:bookmarkEnd w:id="4"/>
          </w:p>
        </w:tc>
      </w:tr>
    </w:tbl>
    <w:p>
      <w:pPr>
        <w:pStyle w:val="Normal"/>
        <w:shd w:val="clear" w:color="auto" w:fill="FFFFFF"/>
        <w:spacing w:lineRule="auto" w:line="360" w:before="0" w:after="0"/>
        <w:jc w:val="center"/>
        <w:textAlignment w:val="top"/>
        <w:rPr>
          <w:rFonts w:eastAsia="Calibri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Calibri" w:cs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textAlignment w:val="top"/>
        <w:rPr/>
      </w:pPr>
      <w:r>
        <w:rPr>
          <w:rFonts w:eastAsia="Calibri" w:cs="Times New Roman"/>
          <w:b/>
          <w:color w:val="000000"/>
          <w:sz w:val="24"/>
          <w:szCs w:val="24"/>
          <w:lang w:eastAsia="ru-RU"/>
        </w:rPr>
        <w:t>Перечень электронно-библиотечных систем (ЭБС)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Liberation Serif" w:hAnsi="Liberation Serif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i/>
          <w:sz w:val="24"/>
          <w:szCs w:val="24"/>
          <w:lang w:eastAsia="ru-RU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2388"/>
        <w:gridCol w:w="7583"/>
      </w:tblGrid>
      <w:tr>
        <w:trPr/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/>
            </w:pPr>
            <w:r>
              <w:rPr>
                <w:rFonts w:eastAsia="Calibri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Calibri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hyperlink r:id="rId15"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rFonts w:eastAsia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6" w:tgtFrame="_blank">
              <w:r>
                <w:rPr>
                  <w:rStyle w:val="ListLabel3"/>
                  <w:rFonts w:eastAsia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>
              <w:rPr>
                <w:rFonts w:eastAsia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i/>
                <w:lang w:eastAsia="ru-RU"/>
              </w:rPr>
              <w:t>Регистрация с компьютеров АГУ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17"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biblio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-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online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18">
              <w:r>
                <w:rPr>
                  <w:rStyle w:val="Style21"/>
                  <w:rFonts w:cs="Times New Roman"/>
                  <w:sz w:val="24"/>
                </w:rPr>
                <w:t>https://urait.ru/</w:t>
              </w:r>
            </w:hyperlink>
            <w:r>
              <w:rPr>
                <w:rFonts w:eastAsia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19"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widowControl/>
        <w:shd w:val="clear" w:fill="FFFFFF"/>
        <w:spacing w:lineRule="auto" w:line="259" w:before="0" w:after="160"/>
        <w:ind w:left="0" w:right="0" w:firstLine="567"/>
        <w:jc w:val="center"/>
        <w:rPr>
          <w:rFonts w:ascii="Times New Roman" w:hAnsi="Times New Roman" w:eastAsia="Calibri" w:cs="Times New Roman"/>
          <w:b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</w:r>
    </w:p>
    <w:p>
      <w:pPr>
        <w:pStyle w:val="Normal"/>
        <w:widowControl/>
        <w:shd w:val="clear" w:fill="FFFFFF"/>
        <w:spacing w:lineRule="auto" w:line="259" w:before="0" w:after="160"/>
        <w:ind w:left="0" w:right="0" w:firstLine="567"/>
        <w:jc w:val="center"/>
        <w:rPr/>
      </w:pPr>
      <w:r>
        <w:rPr>
          <w:rFonts w:eastAsia="Calibri" w:cs="Times New Roman"/>
          <w:b/>
          <w:bCs/>
          <w:color w:val="000000"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1644"/>
        <w:gridCol w:w="8327"/>
      </w:tblGrid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/>
            </w:pPr>
            <w:r>
              <w:rPr>
                <w:rFonts w:eastAsia="Calibri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eastAsia="Calibri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Calibri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MARK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0"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21">
              <w:r>
                <w:rPr>
                  <w:rStyle w:val="ListLabel3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2">
              <w:r>
                <w:rPr>
                  <w:rStyle w:val="ListLabel4"/>
                  <w:rFonts w:eastAsia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23">
              <w:r>
                <w:rPr>
                  <w:rStyle w:val="ListLabel3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Имя пользователя: AstrGU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shd w:fill="FFFFFF" w:val="clear"/>
                <w:lang w:eastAsia="ru-RU"/>
              </w:rPr>
              <w:t>Пароль: AstrGU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4">
              <w:r>
                <w:rPr>
                  <w:rStyle w:val="ListLabel3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Электронно-библиотечная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elibrary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25"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6"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+Электронные версии периодических изданий, размещенные на сайте информационных ресурсов </w:t>
            </w:r>
            <w:hyperlink r:id="rId27">
              <w:r>
                <w:rPr>
                  <w:rStyle w:val="Style21"/>
                  <w:rFonts w:eastAsia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Style21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21"/>
                  <w:rFonts w:eastAsia="Times New Roman" w:cs="Times New Roman"/>
                  <w:sz w:val="24"/>
                  <w:szCs w:val="24"/>
                  <w:lang w:val="en-US" w:eastAsia="ru-RU"/>
                </w:rPr>
                <w:t>polpred</w:t>
              </w:r>
              <w:r>
                <w:rPr>
                  <w:rStyle w:val="Style21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21"/>
                  <w:rFonts w:eastAsia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8">
              <w:r>
                <w:rPr>
                  <w:rStyle w:val="ListLabel7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9">
              <w:r>
                <w:rPr>
                  <w:rStyle w:val="ListLabel7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30">
              <w:r>
                <w:rPr>
                  <w:rStyle w:val="Style21"/>
                  <w:rFonts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31">
              <w:r>
                <w:rPr>
                  <w:rStyle w:val="Style21"/>
                  <w:rFonts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32">
              <w:r>
                <w:rPr>
                  <w:rStyle w:val="Style21"/>
                  <w:rFonts w:cs="Times New Roman"/>
                  <w:sz w:val="24"/>
                  <w:szCs w:val="24"/>
                </w:rPr>
                <w:t>https://edu.gov.ru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33">
              <w:r>
                <w:rPr>
                  <w:rStyle w:val="Style21"/>
                  <w:rFonts w:cs="Times New Roman"/>
                  <w:sz w:val="24"/>
                  <w:szCs w:val="24"/>
                </w:rPr>
                <w:t>http://www.ege.edu.ru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34">
              <w:r>
                <w:rPr>
                  <w:rStyle w:val="Style21"/>
                  <w:rFonts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35">
              <w:r>
                <w:rPr>
                  <w:rStyle w:val="Style21"/>
                  <w:rFonts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36">
              <w:r>
                <w:rPr>
                  <w:rStyle w:val="Style21"/>
                  <w:rFonts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4575" w:leader="none"/>
              </w:tabs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37">
              <w:r>
                <w:rPr>
                  <w:rStyle w:val="Style21"/>
                  <w:rFonts w:cs="Times New Roman"/>
                  <w:sz w:val="24"/>
                  <w:szCs w:val="24"/>
                </w:rPr>
                <w:t>https://рдш.рф</w:t>
              </w:r>
            </w:hyperlink>
          </w:p>
          <w:p>
            <w:pPr>
              <w:pStyle w:val="Normal"/>
              <w:shd w:val="clear" w:color="auto" w:fill="FFFFFF"/>
              <w:tabs>
                <w:tab w:val="left" w:pos="4575" w:leader="none"/>
              </w:tabs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4575" w:leader="none"/>
              </w:tabs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 сетевой академии cisco: </w:t>
            </w:r>
            <w:hyperlink r:id="rId38">
              <w:r>
                <w:rPr>
                  <w:rStyle w:val="Style21"/>
                  <w:rFonts w:cs="Times New Roman"/>
                  <w:sz w:val="24"/>
                  <w:szCs w:val="24"/>
                </w:rPr>
                <w:t>www.netacad.com</w:t>
              </w:r>
            </w:hyperlink>
          </w:p>
        </w:tc>
      </w:tr>
    </w:tbl>
    <w:p>
      <w:pPr>
        <w:pStyle w:val="Normal"/>
        <w:shd w:val="clear" w:fill="FFFFFF"/>
        <w:jc w:val="both"/>
        <w:rPr>
          <w:rFonts w:ascii="yandex-sans;Times New Roman" w:hAnsi="yandex-sans;Times New Roman" w:cs="yandex-sans;Times New Roman"/>
          <w:color w:val="000000"/>
          <w:sz w:val="23"/>
          <w:szCs w:val="23"/>
          <w:highlight w:val="white"/>
        </w:rPr>
      </w:pPr>
      <w:r>
        <w:rPr>
          <w:rFonts w:cs="yandex-sans;Times New Roman" w:ascii="yandex-sans;Times New Roman" w:hAnsi="yandex-sans;Times New Roman"/>
          <w:color w:val="000000"/>
          <w:sz w:val="23"/>
          <w:szCs w:val="23"/>
          <w:highlight w:val="white"/>
        </w:rPr>
      </w:r>
    </w:p>
    <w:p>
      <w:pPr>
        <w:pStyle w:val="Normal"/>
        <w:shd w:val="clear" w:fill="FFFFFF"/>
        <w:jc w:val="center"/>
        <w:rPr/>
      </w:pPr>
      <w:r>
        <w:rPr>
          <w:rFonts w:cs="yandex-sans;Times New Roman"/>
          <w:b/>
          <w:bCs/>
          <w:color w:val="000000"/>
          <w:sz w:val="24"/>
          <w:szCs w:val="23"/>
          <w:highlight w:val="white"/>
        </w:rPr>
        <w:t>Перечень международных реферативных баз данных научных изданий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b/>
          <w:bCs/>
          <w:sz w:val="24"/>
        </w:rPr>
      </w:pPr>
      <w:r>
        <w:rPr>
          <w:b/>
          <w:bCs/>
          <w:sz w:val="24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1644"/>
        <w:gridCol w:w="8327"/>
      </w:tblGrid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/>
            </w:pPr>
            <w:r>
              <w:rPr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>
              <w:rPr>
                <w:sz w:val="24"/>
                <w:szCs w:val="24"/>
                <w:lang w:val="en-US" w:eastAsia="ru-RU"/>
              </w:rPr>
              <w:t>Nature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sz w:val="24"/>
                <w:szCs w:val="24"/>
              </w:rPr>
              <w:t xml:space="preserve"> Elsevier ScienceDirect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sz w:val="24"/>
                <w:szCs w:val="24"/>
              </w:rPr>
              <w:t xml:space="preserve"> Elsevier Scopus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электронный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ресурс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Clarivate Analytics – Web of Science Core Collection</w:t>
            </w:r>
            <w:r>
              <w:rPr>
                <w:sz w:val="24"/>
                <w:szCs w:val="24"/>
                <w:lang w:val="en-US" w:eastAsia="ru-RU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fill="FFFFFF"/>
        <w:tabs>
          <w:tab w:val="right" w:pos="9639" w:leader="underscore"/>
        </w:tabs>
        <w:ind w:firstLine="567"/>
        <w:jc w:val="center"/>
        <w:outlineLvl w:val="1"/>
        <w:rPr>
          <w:rFonts w:ascii="Times New Roman" w:hAnsi="Times New Roman"/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center"/>
        <w:rPr>
          <w:rFonts w:eastAsia="Calibri"/>
          <w:b/>
          <w:b/>
          <w:bCs/>
          <w:szCs w:val="22"/>
          <w:lang w:eastAsia="en-US"/>
        </w:rPr>
      </w:pPr>
      <w:r>
        <w:rPr>
          <w:rFonts w:eastAsia="Calibri"/>
          <w:b/>
          <w:bCs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  <w:i/>
          <w:i/>
          <w:color w:val="0070C0"/>
        </w:rPr>
      </w:pPr>
      <w:r>
        <w:rPr>
          <w:b/>
          <w:bCs/>
          <w:i/>
          <w:color w:val="0070C0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>
          <w:b/>
          <w:bCs/>
        </w:rPr>
        <w:t xml:space="preserve">10. МАТЕРИАЛЬНО-ТЕХНИЧЕСКОЕ ОБЕСПЕЧЕНИЕ БАЗЫ, </w:t>
        <w:br/>
        <w:t>НЕОБХОДИМОЙ ДЛЯ ПРОВЕДЕНИЯ ПРАКТИКИ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21"/>
        <w:spacing w:lineRule="atLeast" w:line="30" w:before="60" w:after="60"/>
        <w:ind w:right="-1" w:firstLine="567"/>
        <w:jc w:val="both"/>
        <w:rPr/>
      </w:pPr>
      <w:r>
        <w:rPr>
          <w:spacing w:val="2"/>
          <w:szCs w:val="28"/>
        </w:rPr>
        <w:t xml:space="preserve">Во время прохождения </w:t>
      </w:r>
      <w:r>
        <w:rPr>
          <w:spacing w:val="2"/>
          <w:szCs w:val="28"/>
          <w:lang w:val="ru-RU"/>
        </w:rPr>
        <w:t xml:space="preserve">педагогической </w:t>
      </w:r>
      <w:r>
        <w:rPr>
          <w:spacing w:val="2"/>
          <w:szCs w:val="28"/>
        </w:rPr>
        <w:t xml:space="preserve"> практики аспирант может использовать современную аппаратуру и средства обработки данных </w:t>
      </w:r>
      <w:r>
        <w:rPr>
          <w:spacing w:val="2"/>
          <w:szCs w:val="28"/>
          <w:lang w:val="ru-RU"/>
        </w:rPr>
        <w:t>(</w:t>
      </w:r>
      <w:r>
        <w:rPr>
          <w:spacing w:val="2"/>
          <w:szCs w:val="28"/>
        </w:rPr>
        <w:t xml:space="preserve">компьютеры, </w:t>
      </w:r>
      <w:r>
        <w:rPr>
          <w:spacing w:val="2"/>
          <w:szCs w:val="28"/>
          <w:lang w:val="ru-RU"/>
        </w:rPr>
        <w:t>проекторы</w:t>
      </w:r>
      <w:r>
        <w:rPr>
          <w:spacing w:val="2"/>
          <w:szCs w:val="28"/>
        </w:rPr>
        <w:t>), которые находятся в соответствующей производственной организации.</w:t>
      </w:r>
      <w:r>
        <w:rPr>
          <w:spacing w:val="2"/>
          <w:szCs w:val="28"/>
          <w:lang w:val="ru-RU"/>
        </w:rPr>
        <w:t xml:space="preserve"> В университете имеются  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 Компьютерные классы со специализированным программным обеспечением для организации практических занятий, в том числе в интерактивных формах.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/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>
      <w:footerReference w:type="default" r:id="rId39"/>
      <w:footerReference w:type="first" r:id="rId40"/>
      <w:type w:val="nextPage"/>
      <w:pgSz w:w="11906" w:h="16838"/>
      <w:pgMar w:left="1418" w:right="850" w:header="0" w:top="1134" w:footer="708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egoe UI">
    <w:charset w:val="01"/>
    <w:family w:val="roman"/>
    <w:pitch w:val="variable"/>
  </w:font>
  <w:font w:name="LatoWeb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yandex-sans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bCs/>
        <w:rFonts w:eastAsia="Calibri"/>
        <w:color w:val="00000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bCs/>
    </w:rPr>
  </w:style>
  <w:style w:type="character" w:styleId="WW8Num2z0">
    <w:name w:val="WW8Num2z0"/>
    <w:qFormat/>
    <w:rPr>
      <w:rFonts w:eastAsia="Calibri"/>
      <w:b w:val="false"/>
      <w:lang w:eastAsia="en-U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  <w:i w:val="false"/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eastAsia="Calibri"/>
      <w:b w:val="false"/>
      <w:bCs/>
      <w:color w:val="000000"/>
      <w:lang w:eastAsia="ar-SA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eastAsia="Arial Unicode MS" w:cs="Times New Roman"/>
      <w:bCs/>
      <w:sz w:val="28"/>
      <w:szCs w:val="28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>
      <w:rFonts w:ascii="Symbol" w:hAnsi="Symbol" w:cs="Symbol"/>
    </w:rPr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14">
    <w:name w:val="Основной шрифт абзаца"/>
    <w:qFormat/>
    <w:rPr/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омер страницы"/>
    <w:basedOn w:val="Style14"/>
    <w:rPr/>
  </w:style>
  <w:style w:type="character" w:styleId="Style17">
    <w:name w:val="Основной текст Знак"/>
    <w:qFormat/>
    <w:rPr>
      <w:rFonts w:ascii="Times New Roman" w:hAnsi="Times New Roman" w:eastAsia="Calibri" w:cs="Times New Roman"/>
      <w:smallCaps/>
      <w:sz w:val="24"/>
      <w:szCs w:val="24"/>
    </w:rPr>
  </w:style>
  <w:style w:type="character" w:styleId="2">
    <w:name w:val="Основной текст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8">
    <w:name w:val="Название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Style19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20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21">
    <w:name w:val="Интернет-ссылка"/>
    <w:rPr>
      <w:color w:val="0000FF"/>
      <w:u w:val="single"/>
    </w:rPr>
  </w:style>
  <w:style w:type="character" w:styleId="ListLabel1">
    <w:name w:val="ListLabel 1"/>
    <w:qFormat/>
    <w:rPr>
      <w:bCs/>
    </w:rPr>
  </w:style>
  <w:style w:type="character" w:styleId="ListLabel2">
    <w:name w:val="ListLabel 2"/>
    <w:qFormat/>
    <w:rPr>
      <w:rFonts w:eastAsia="Calibri"/>
      <w:b/>
      <w:lang w:eastAsia="en-US"/>
    </w:rPr>
  </w:style>
  <w:style w:type="character" w:styleId="ListLabel3">
    <w:name w:val="ListLabel 3"/>
    <w:qFormat/>
    <w:rPr>
      <w:b/>
      <w:i w:val="false"/>
      <w:sz w:val="28"/>
      <w:szCs w:val="28"/>
    </w:rPr>
  </w:style>
  <w:style w:type="character" w:styleId="ListLabel4">
    <w:name w:val="ListLabel 4"/>
    <w:qFormat/>
    <w:rPr>
      <w:rFonts w:eastAsia="Calibri"/>
      <w:b/>
      <w:bCs/>
      <w:color w:val="000000"/>
      <w:lang w:eastAsia="ar-SA"/>
    </w:rPr>
  </w:style>
  <w:style w:type="character" w:styleId="ListLabel5">
    <w:name w:val="ListLabel 5"/>
    <w:qFormat/>
    <w:rPr>
      <w:rFonts w:ascii="Times New Roman" w:hAnsi="Times New Roman" w:eastAsia="Arial Unicode MS" w:cs="Times New Roman"/>
      <w:bCs/>
      <w:sz w:val="24"/>
      <w:szCs w:val="28"/>
    </w:rPr>
  </w:style>
  <w:style w:type="character" w:styleId="ListLabel6">
    <w:name w:val="ListLabel 6"/>
    <w:qFormat/>
    <w:rPr/>
  </w:style>
  <w:style w:type="character" w:styleId="ListLabel7">
    <w:name w:val="ListLabel 7"/>
    <w:qFormat/>
    <w:rPr>
      <w:bCs/>
      <w:color w:val="0000FF"/>
      <w:u w:val="single"/>
      <w:lang w:val="en-US"/>
    </w:rPr>
  </w:style>
  <w:style w:type="character" w:styleId="ListLabel8">
    <w:name w:val="ListLabel 8"/>
    <w:qFormat/>
    <w:rPr>
      <w:bCs/>
      <w:color w:val="0000FF"/>
      <w:u w:val="single"/>
    </w:rPr>
  </w:style>
  <w:style w:type="character" w:styleId="ListLabel9">
    <w:name w:val="ListLabel 9"/>
    <w:qFormat/>
    <w:rPr>
      <w:color w:val="0000FF"/>
      <w:u w:val="single"/>
      <w:lang w:val="en-US"/>
    </w:rPr>
  </w:style>
  <w:style w:type="character" w:styleId="ListLabel10">
    <w:name w:val="ListLabel 10"/>
    <w:qFormat/>
    <w:rPr>
      <w:color w:val="0000FF"/>
      <w:u w:val="single"/>
    </w:rPr>
  </w:style>
  <w:style w:type="character" w:styleId="ListLabel11">
    <w:name w:val="ListLabel 11"/>
    <w:qFormat/>
    <w:rPr>
      <w:color w:val="0000FF"/>
      <w:u w:val="single"/>
    </w:rPr>
  </w:style>
  <w:style w:type="character" w:styleId="ListLabel12">
    <w:name w:val="ListLabel 12"/>
    <w:qFormat/>
    <w:rPr>
      <w:color w:val="0000FF"/>
      <w:u w:val="single"/>
      <w:lang w:val="en-US"/>
    </w:rPr>
  </w:style>
  <w:style w:type="character" w:styleId="ListLabel13">
    <w:name w:val="ListLabel 13"/>
    <w:qFormat/>
    <w:rPr>
      <w:rFonts w:eastAsia="Calibri"/>
      <w:color w:val="0000FF"/>
      <w:u w:val="single"/>
      <w:lang w:val="en-US"/>
    </w:rPr>
  </w:style>
  <w:style w:type="character" w:styleId="ListLabel14">
    <w:name w:val="ListLabel 14"/>
    <w:qFormat/>
    <w:rPr>
      <w:rFonts w:eastAsia="Calibri"/>
      <w:color w:val="0000FF"/>
      <w:u w:val="single"/>
    </w:rPr>
  </w:style>
  <w:style w:type="character" w:styleId="ListLabel15">
    <w:name w:val="ListLabel 15"/>
    <w:qFormat/>
    <w:rPr>
      <w:lang w:val="en-US"/>
    </w:rPr>
  </w:style>
  <w:style w:type="character" w:styleId="ListLabel16">
    <w:name w:val="ListLabel 16"/>
    <w:qFormat/>
    <w:rPr>
      <w:rFonts w:eastAsia="Calibri"/>
      <w:lang w:eastAsia="en-US"/>
    </w:rPr>
  </w:style>
  <w:style w:type="character" w:styleId="ListLabel17">
    <w:name w:val="ListLabel 17"/>
    <w:qFormat/>
    <w:rPr>
      <w:rFonts w:eastAsia="Calibri"/>
      <w:color w:val="0000FF"/>
      <w:u w:val="single"/>
      <w:lang w:eastAsia="en-US"/>
    </w:rPr>
  </w:style>
  <w:style w:type="character" w:styleId="ListLabel18">
    <w:name w:val="ListLabel 18"/>
    <w:qFormat/>
    <w:rPr>
      <w:rFonts w:eastAsia="Calibri"/>
      <w:b/>
      <w:lang w:eastAsia="en-US"/>
    </w:rPr>
  </w:style>
  <w:style w:type="character" w:styleId="ListLabel19">
    <w:name w:val="ListLabel 19"/>
    <w:qFormat/>
    <w:rPr>
      <w:b/>
      <w:i w:val="false"/>
      <w:sz w:val="28"/>
      <w:szCs w:val="28"/>
    </w:rPr>
  </w:style>
  <w:style w:type="character" w:styleId="ListLabel20">
    <w:name w:val="ListLabel 20"/>
    <w:qFormat/>
    <w:rPr>
      <w:rFonts w:eastAsia="Calibri"/>
      <w:b/>
      <w:bCs/>
      <w:color w:val="000000"/>
      <w:lang w:eastAsia="ar-SA"/>
    </w:rPr>
  </w:style>
  <w:style w:type="character" w:styleId="ListLabel21">
    <w:name w:val="ListLabel 21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22">
    <w:name w:val="ListLabel 22"/>
    <w:qFormat/>
    <w:rPr>
      <w:rFonts w:cs="Symbol"/>
      <w:sz w:val="24"/>
    </w:rPr>
  </w:style>
  <w:style w:type="character" w:styleId="ListLabel23">
    <w:name w:val="ListLabel 23"/>
    <w:qFormat/>
    <w:rPr/>
  </w:style>
  <w:style w:type="character" w:styleId="ListLabel24">
    <w:name w:val="ListLabel 24"/>
    <w:qFormat/>
    <w:rPr>
      <w:bCs/>
      <w:color w:val="0000FF"/>
      <w:u w:val="single"/>
      <w:lang w:val="en-US"/>
    </w:rPr>
  </w:style>
  <w:style w:type="character" w:styleId="ListLabel25">
    <w:name w:val="ListLabel 25"/>
    <w:qFormat/>
    <w:rPr>
      <w:bCs/>
      <w:color w:val="0000FF"/>
      <w:u w:val="single"/>
    </w:rPr>
  </w:style>
  <w:style w:type="character" w:styleId="ListLabel26">
    <w:name w:val="ListLabel 26"/>
    <w:qFormat/>
    <w:rPr>
      <w:color w:val="0000FF"/>
      <w:u w:val="single"/>
      <w:lang w:val="en-US"/>
    </w:rPr>
  </w:style>
  <w:style w:type="character" w:styleId="ListLabel27">
    <w:name w:val="ListLabel 27"/>
    <w:qFormat/>
    <w:rPr>
      <w:color w:val="0000FF"/>
      <w:u w:val="single"/>
    </w:rPr>
  </w:style>
  <w:style w:type="character" w:styleId="ListLabel28">
    <w:name w:val="ListLabel 28"/>
    <w:qFormat/>
    <w:rPr>
      <w:rFonts w:eastAsia="Calibri"/>
      <w:color w:val="0000FF"/>
      <w:u w:val="single"/>
      <w:lang w:val="en-US"/>
    </w:rPr>
  </w:style>
  <w:style w:type="character" w:styleId="ListLabel29">
    <w:name w:val="ListLabel 29"/>
    <w:qFormat/>
    <w:rPr>
      <w:rFonts w:eastAsia="Calibri"/>
      <w:color w:val="0000FF"/>
      <w:u w:val="single"/>
    </w:rPr>
  </w:style>
  <w:style w:type="character" w:styleId="ListLabel30">
    <w:name w:val="ListLabel 30"/>
    <w:qFormat/>
    <w:rPr>
      <w:lang w:val="en-US"/>
    </w:rPr>
  </w:style>
  <w:style w:type="character" w:styleId="ListLabel31">
    <w:name w:val="ListLabel 31"/>
    <w:qFormat/>
    <w:rPr>
      <w:rFonts w:eastAsia="Calibri"/>
      <w:lang w:eastAsia="en-US"/>
    </w:rPr>
  </w:style>
  <w:style w:type="character" w:styleId="ListLabel32">
    <w:name w:val="ListLabel 32"/>
    <w:qFormat/>
    <w:rPr>
      <w:rFonts w:eastAsia="Calibri"/>
      <w:color w:val="0000FF"/>
      <w:u w:val="single"/>
      <w:lang w:eastAsia="en-US"/>
    </w:rPr>
  </w:style>
  <w:style w:type="character" w:styleId="ListLabel33">
    <w:name w:val="ListLabel 33"/>
    <w:qFormat/>
    <w:rPr>
      <w:rFonts w:eastAsia="Calibri"/>
      <w:b/>
      <w:lang w:eastAsia="en-US"/>
    </w:rPr>
  </w:style>
  <w:style w:type="character" w:styleId="ListLabel34">
    <w:name w:val="ListLabel 34"/>
    <w:qFormat/>
    <w:rPr>
      <w:b/>
      <w:i w:val="false"/>
      <w:sz w:val="28"/>
      <w:szCs w:val="28"/>
    </w:rPr>
  </w:style>
  <w:style w:type="character" w:styleId="ListLabel35">
    <w:name w:val="ListLabel 35"/>
    <w:qFormat/>
    <w:rPr>
      <w:rFonts w:eastAsia="Calibri"/>
      <w:b/>
      <w:bCs/>
      <w:color w:val="000000"/>
      <w:lang w:eastAsia="ar-SA"/>
    </w:rPr>
  </w:style>
  <w:style w:type="character" w:styleId="ListLabel36">
    <w:name w:val="ListLabel 36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37">
    <w:name w:val="ListLabel 37"/>
    <w:qFormat/>
    <w:rPr>
      <w:rFonts w:cs="Symbol"/>
      <w:sz w:val="24"/>
    </w:rPr>
  </w:style>
  <w:style w:type="character" w:styleId="ListLabel38">
    <w:name w:val="ListLabel 38"/>
    <w:qFormat/>
    <w:rPr/>
  </w:style>
  <w:style w:type="character" w:styleId="ListLabel39">
    <w:name w:val="ListLabel 39"/>
    <w:qFormat/>
    <w:rPr>
      <w:bCs/>
      <w:color w:val="0000FF"/>
      <w:u w:val="single"/>
      <w:lang w:val="en-US"/>
    </w:rPr>
  </w:style>
  <w:style w:type="character" w:styleId="ListLabel40">
    <w:name w:val="ListLabel 40"/>
    <w:qFormat/>
    <w:rPr>
      <w:bCs/>
      <w:color w:val="0000FF"/>
      <w:u w:val="single"/>
    </w:rPr>
  </w:style>
  <w:style w:type="character" w:styleId="ListLabel41">
    <w:name w:val="ListLabel 41"/>
    <w:qFormat/>
    <w:rPr>
      <w:color w:val="0000FF"/>
      <w:u w:val="single"/>
      <w:lang w:val="en-US"/>
    </w:rPr>
  </w:style>
  <w:style w:type="character" w:styleId="ListLabel42">
    <w:name w:val="ListLabel 42"/>
    <w:qFormat/>
    <w:rPr>
      <w:color w:val="0000FF"/>
      <w:u w:val="single"/>
    </w:rPr>
  </w:style>
  <w:style w:type="character" w:styleId="ListLabel43">
    <w:name w:val="ListLabel 43"/>
    <w:qFormat/>
    <w:rPr>
      <w:rFonts w:eastAsia="Calibri"/>
      <w:color w:val="0000FF"/>
      <w:u w:val="single"/>
      <w:lang w:val="en-US"/>
    </w:rPr>
  </w:style>
  <w:style w:type="character" w:styleId="ListLabel44">
    <w:name w:val="ListLabel 44"/>
    <w:qFormat/>
    <w:rPr>
      <w:rFonts w:eastAsia="Calibri"/>
      <w:color w:val="0000FF"/>
      <w:u w:val="single"/>
    </w:rPr>
  </w:style>
  <w:style w:type="character" w:styleId="ListLabel45">
    <w:name w:val="ListLabel 45"/>
    <w:qFormat/>
    <w:rPr>
      <w:lang w:val="en-US"/>
    </w:rPr>
  </w:style>
  <w:style w:type="character" w:styleId="ListLabel46">
    <w:name w:val="ListLabel 46"/>
    <w:qFormat/>
    <w:rPr>
      <w:rFonts w:eastAsia="Calibri"/>
      <w:lang w:eastAsia="en-US"/>
    </w:rPr>
  </w:style>
  <w:style w:type="character" w:styleId="ListLabel47">
    <w:name w:val="ListLabel 47"/>
    <w:qFormat/>
    <w:rPr>
      <w:rFonts w:eastAsia="Calibri"/>
      <w:color w:val="0000FF"/>
      <w:u w:val="single"/>
      <w:lang w:eastAsia="en-US"/>
    </w:rPr>
  </w:style>
  <w:style w:type="character" w:styleId="ListLabel48">
    <w:name w:val="ListLabel 48"/>
    <w:qFormat/>
    <w:rPr>
      <w:rFonts w:eastAsia="Calibri"/>
      <w:b/>
      <w:lang w:eastAsia="en-US"/>
    </w:rPr>
  </w:style>
  <w:style w:type="character" w:styleId="ListLabel49">
    <w:name w:val="ListLabel 49"/>
    <w:qFormat/>
    <w:rPr>
      <w:b/>
      <w:i w:val="false"/>
      <w:sz w:val="28"/>
      <w:szCs w:val="28"/>
    </w:rPr>
  </w:style>
  <w:style w:type="character" w:styleId="ListLabel50">
    <w:name w:val="ListLabel 50"/>
    <w:qFormat/>
    <w:rPr>
      <w:rFonts w:eastAsia="Calibri"/>
      <w:b/>
      <w:bCs/>
      <w:color w:val="000000"/>
      <w:lang w:eastAsia="ar-SA"/>
    </w:rPr>
  </w:style>
  <w:style w:type="character" w:styleId="ListLabel51">
    <w:name w:val="ListLabel 51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52">
    <w:name w:val="ListLabel 52"/>
    <w:qFormat/>
    <w:rPr>
      <w:rFonts w:cs="Symbol"/>
      <w:sz w:val="24"/>
    </w:rPr>
  </w:style>
  <w:style w:type="character" w:styleId="ListLabel53">
    <w:name w:val="ListLabel 53"/>
    <w:qFormat/>
    <w:rPr/>
  </w:style>
  <w:style w:type="character" w:styleId="ListLabel54">
    <w:name w:val="ListLabel 54"/>
    <w:qFormat/>
    <w:rPr>
      <w:bCs/>
      <w:color w:val="0000FF"/>
      <w:u w:val="single"/>
      <w:lang w:val="en-US"/>
    </w:rPr>
  </w:style>
  <w:style w:type="character" w:styleId="ListLabel55">
    <w:name w:val="ListLabel 55"/>
    <w:qFormat/>
    <w:rPr>
      <w:bCs/>
      <w:color w:val="0000FF"/>
      <w:u w:val="single"/>
    </w:rPr>
  </w:style>
  <w:style w:type="character" w:styleId="ListLabel56">
    <w:name w:val="ListLabel 56"/>
    <w:qFormat/>
    <w:rPr>
      <w:color w:val="0000FF"/>
      <w:u w:val="single"/>
      <w:lang w:val="en-US"/>
    </w:rPr>
  </w:style>
  <w:style w:type="character" w:styleId="ListLabel57">
    <w:name w:val="ListLabel 57"/>
    <w:qFormat/>
    <w:rPr>
      <w:color w:val="0000FF"/>
      <w:u w:val="single"/>
    </w:rPr>
  </w:style>
  <w:style w:type="character" w:styleId="ListLabel58">
    <w:name w:val="ListLabel 58"/>
    <w:qFormat/>
    <w:rPr>
      <w:rFonts w:eastAsia="Calibri"/>
      <w:color w:val="0000FF"/>
      <w:u w:val="single"/>
      <w:lang w:val="en-US"/>
    </w:rPr>
  </w:style>
  <w:style w:type="character" w:styleId="ListLabel59">
    <w:name w:val="ListLabel 59"/>
    <w:qFormat/>
    <w:rPr>
      <w:rFonts w:eastAsia="Calibri"/>
      <w:color w:val="0000FF"/>
      <w:u w:val="single"/>
    </w:rPr>
  </w:style>
  <w:style w:type="character" w:styleId="ListLabel60">
    <w:name w:val="ListLabel 60"/>
    <w:qFormat/>
    <w:rPr>
      <w:lang w:val="en-US"/>
    </w:rPr>
  </w:style>
  <w:style w:type="character" w:styleId="ListLabel61">
    <w:name w:val="ListLabel 61"/>
    <w:qFormat/>
    <w:rPr>
      <w:rFonts w:eastAsia="Calibri"/>
      <w:lang w:eastAsia="en-US"/>
    </w:rPr>
  </w:style>
  <w:style w:type="character" w:styleId="ListLabel62">
    <w:name w:val="ListLabel 62"/>
    <w:qFormat/>
    <w:rPr>
      <w:rFonts w:eastAsia="Calibri"/>
      <w:color w:val="0000FF"/>
      <w:u w:val="single"/>
      <w:lang w:eastAsia="en-US"/>
    </w:rPr>
  </w:style>
  <w:style w:type="character" w:styleId="ListLabel63">
    <w:name w:val="ListLabel 63"/>
    <w:qFormat/>
    <w:rPr>
      <w:rFonts w:eastAsia="Calibri"/>
      <w:b/>
      <w:lang w:eastAsia="en-US"/>
    </w:rPr>
  </w:style>
  <w:style w:type="character" w:styleId="ListLabel64">
    <w:name w:val="ListLabel 64"/>
    <w:qFormat/>
    <w:rPr>
      <w:b/>
      <w:i w:val="false"/>
      <w:sz w:val="28"/>
      <w:szCs w:val="28"/>
    </w:rPr>
  </w:style>
  <w:style w:type="character" w:styleId="ListLabel65">
    <w:name w:val="ListLabel 65"/>
    <w:qFormat/>
    <w:rPr>
      <w:rFonts w:eastAsia="Calibri"/>
      <w:b/>
      <w:bCs/>
      <w:color w:val="000000"/>
      <w:lang w:eastAsia="ar-SA"/>
    </w:rPr>
  </w:style>
  <w:style w:type="character" w:styleId="ListLabel66">
    <w:name w:val="ListLabel 66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67">
    <w:name w:val="ListLabel 67"/>
    <w:qFormat/>
    <w:rPr>
      <w:rFonts w:cs="Symbol"/>
      <w:sz w:val="24"/>
    </w:rPr>
  </w:style>
  <w:style w:type="character" w:styleId="ListLabel68">
    <w:name w:val="ListLabel 68"/>
    <w:qFormat/>
    <w:rPr/>
  </w:style>
  <w:style w:type="character" w:styleId="ListLabel69">
    <w:name w:val="ListLabel 69"/>
    <w:qFormat/>
    <w:rPr>
      <w:bCs/>
      <w:color w:val="0000FF"/>
      <w:u w:val="single"/>
      <w:lang w:val="en-US"/>
    </w:rPr>
  </w:style>
  <w:style w:type="character" w:styleId="ListLabel70">
    <w:name w:val="ListLabel 70"/>
    <w:qFormat/>
    <w:rPr>
      <w:bCs/>
      <w:color w:val="0000FF"/>
      <w:u w:val="single"/>
    </w:rPr>
  </w:style>
  <w:style w:type="character" w:styleId="ListLabel71">
    <w:name w:val="ListLabel 71"/>
    <w:qFormat/>
    <w:rPr>
      <w:color w:val="0000FF"/>
      <w:u w:val="single"/>
      <w:lang w:val="en-US"/>
    </w:rPr>
  </w:style>
  <w:style w:type="character" w:styleId="ListLabel72">
    <w:name w:val="ListLabel 72"/>
    <w:qFormat/>
    <w:rPr>
      <w:color w:val="0000FF"/>
      <w:u w:val="single"/>
    </w:rPr>
  </w:style>
  <w:style w:type="character" w:styleId="ListLabel73">
    <w:name w:val="ListLabel 73"/>
    <w:qFormat/>
    <w:rPr>
      <w:rFonts w:eastAsia="Calibri"/>
      <w:color w:val="0000FF"/>
      <w:u w:val="single"/>
      <w:lang w:val="en-US"/>
    </w:rPr>
  </w:style>
  <w:style w:type="character" w:styleId="ListLabel74">
    <w:name w:val="ListLabel 74"/>
    <w:qFormat/>
    <w:rPr>
      <w:rFonts w:eastAsia="Calibri"/>
      <w:color w:val="0000FF"/>
      <w:u w:val="single"/>
    </w:rPr>
  </w:style>
  <w:style w:type="character" w:styleId="ListLabel75">
    <w:name w:val="ListLabel 75"/>
    <w:qFormat/>
    <w:rPr>
      <w:lang w:val="en-US"/>
    </w:rPr>
  </w:style>
  <w:style w:type="character" w:styleId="ListLabel76">
    <w:name w:val="ListLabel 76"/>
    <w:qFormat/>
    <w:rPr>
      <w:rFonts w:eastAsia="Calibri"/>
      <w:lang w:eastAsia="en-US"/>
    </w:rPr>
  </w:style>
  <w:style w:type="character" w:styleId="ListLabel77">
    <w:name w:val="ListLabel 77"/>
    <w:qFormat/>
    <w:rPr>
      <w:rFonts w:eastAsia="Calibri"/>
      <w:color w:val="0000FF"/>
      <w:u w:val="single"/>
      <w:lang w:eastAsia="en-US"/>
    </w:rPr>
  </w:style>
  <w:style w:type="character" w:styleId="ListLabel78">
    <w:name w:val="ListLabel 78"/>
    <w:qFormat/>
    <w:rPr>
      <w:rFonts w:eastAsia="Calibri"/>
      <w:b/>
      <w:lang w:eastAsia="en-US"/>
    </w:rPr>
  </w:style>
  <w:style w:type="character" w:styleId="ListLabel79">
    <w:name w:val="ListLabel 79"/>
    <w:qFormat/>
    <w:rPr>
      <w:b/>
      <w:i w:val="false"/>
      <w:sz w:val="28"/>
      <w:szCs w:val="28"/>
    </w:rPr>
  </w:style>
  <w:style w:type="character" w:styleId="ListLabel80">
    <w:name w:val="ListLabel 80"/>
    <w:qFormat/>
    <w:rPr>
      <w:rFonts w:eastAsia="Calibri"/>
      <w:b/>
      <w:bCs/>
      <w:color w:val="000000"/>
      <w:lang w:eastAsia="ar-SA"/>
    </w:rPr>
  </w:style>
  <w:style w:type="character" w:styleId="ListLabel81">
    <w:name w:val="ListLabel 81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82">
    <w:name w:val="ListLabel 82"/>
    <w:qFormat/>
    <w:rPr>
      <w:rFonts w:cs="Symbol"/>
      <w:sz w:val="24"/>
    </w:rPr>
  </w:style>
  <w:style w:type="character" w:styleId="ListLabel83">
    <w:name w:val="ListLabel 83"/>
    <w:qFormat/>
    <w:rPr/>
  </w:style>
  <w:style w:type="character" w:styleId="ListLabel84">
    <w:name w:val="ListLabel 84"/>
    <w:qFormat/>
    <w:rPr>
      <w:bCs/>
      <w:color w:val="0000FF"/>
      <w:u w:val="single"/>
      <w:lang w:val="en-US"/>
    </w:rPr>
  </w:style>
  <w:style w:type="character" w:styleId="ListLabel85">
    <w:name w:val="ListLabel 85"/>
    <w:qFormat/>
    <w:rPr>
      <w:bCs/>
      <w:color w:val="0000FF"/>
      <w:u w:val="single"/>
    </w:rPr>
  </w:style>
  <w:style w:type="character" w:styleId="ListLabel86">
    <w:name w:val="ListLabel 86"/>
    <w:qFormat/>
    <w:rPr>
      <w:color w:val="0000FF"/>
      <w:u w:val="single"/>
      <w:lang w:val="en-US"/>
    </w:rPr>
  </w:style>
  <w:style w:type="character" w:styleId="ListLabel87">
    <w:name w:val="ListLabel 87"/>
    <w:qFormat/>
    <w:rPr>
      <w:color w:val="0000FF"/>
      <w:u w:val="single"/>
    </w:rPr>
  </w:style>
  <w:style w:type="character" w:styleId="ListLabel88">
    <w:name w:val="ListLabel 88"/>
    <w:qFormat/>
    <w:rPr>
      <w:rFonts w:eastAsia="Calibri"/>
      <w:color w:val="0000FF"/>
      <w:u w:val="single"/>
      <w:lang w:val="en-US"/>
    </w:rPr>
  </w:style>
  <w:style w:type="character" w:styleId="ListLabel89">
    <w:name w:val="ListLabel 89"/>
    <w:qFormat/>
    <w:rPr>
      <w:rFonts w:eastAsia="Calibri"/>
      <w:color w:val="0000FF"/>
      <w:u w:val="single"/>
    </w:rPr>
  </w:style>
  <w:style w:type="character" w:styleId="ListLabel90">
    <w:name w:val="ListLabel 90"/>
    <w:qFormat/>
    <w:rPr>
      <w:lang w:val="en-US"/>
    </w:rPr>
  </w:style>
  <w:style w:type="character" w:styleId="ListLabel91">
    <w:name w:val="ListLabel 91"/>
    <w:qFormat/>
    <w:rPr>
      <w:rFonts w:eastAsia="Calibri"/>
      <w:lang w:eastAsia="en-US"/>
    </w:rPr>
  </w:style>
  <w:style w:type="character" w:styleId="ListLabel92">
    <w:name w:val="ListLabel 92"/>
    <w:qFormat/>
    <w:rPr>
      <w:rFonts w:eastAsia="Calibri"/>
      <w:color w:val="0000FF"/>
      <w:u w:val="single"/>
      <w:lang w:eastAsia="en-US"/>
    </w:rPr>
  </w:style>
  <w:style w:type="character" w:styleId="ListLabel530">
    <w:name w:val="ListLabel 530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531">
    <w:name w:val="ListLabel 531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WW8Num18z0">
    <w:name w:val="WW8Num18z0"/>
    <w:qFormat/>
    <w:rPr>
      <w:iCs/>
      <w:spacing w:val="2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ListLabel527">
    <w:name w:val="ListLabel 527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525">
    <w:name w:val="ListLabel 525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Hilight">
    <w:name w:val="hilight"/>
    <w:basedOn w:val="Style14"/>
    <w:qFormat/>
    <w:rPr/>
  </w:style>
  <w:style w:type="character" w:styleId="ListLabel524">
    <w:name w:val="ListLabel 524"/>
    <w:qFormat/>
    <w:rPr>
      <w:rFonts w:ascii="LatoWeb;Times New Roman" w:hAnsi="LatoWeb;Times New Roman" w:cs="LatoWeb;Times New Roman"/>
      <w:sz w:val="23"/>
      <w:szCs w:val="23"/>
      <w:highlight w:val="white"/>
    </w:rPr>
  </w:style>
  <w:style w:type="character" w:styleId="ListLabel596">
    <w:name w:val="ListLabel 596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598">
    <w:name w:val="ListLabel 598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599">
    <w:name w:val="ListLabel 599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01">
    <w:name w:val="ListLabel 601"/>
    <w:qFormat/>
    <w:rPr>
      <w:rFonts w:cs="Times New Roman"/>
      <w:sz w:val="24"/>
    </w:rPr>
  </w:style>
  <w:style w:type="character" w:styleId="ListLabel602">
    <w:name w:val="ListLabel 602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04">
    <w:name w:val="ListLabel 604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05">
    <w:name w:val="ListLabel 605"/>
    <w:qFormat/>
    <w:rPr>
      <w:rFonts w:eastAsia="Times New Roman" w:cs="Times New Roman"/>
      <w:sz w:val="24"/>
      <w:szCs w:val="24"/>
      <w:lang w:eastAsia="ru-RU"/>
    </w:rPr>
  </w:style>
  <w:style w:type="character" w:styleId="ListLabel607">
    <w:name w:val="ListLabel 607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08">
    <w:name w:val="ListLabel 608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610">
    <w:name w:val="ListLabel 610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612">
    <w:name w:val="ListLabel 612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13">
    <w:name w:val="ListLabel 613"/>
    <w:qFormat/>
    <w:rPr>
      <w:rFonts w:cs="Times New Roman"/>
      <w:sz w:val="24"/>
      <w:szCs w:val="24"/>
    </w:rPr>
  </w:style>
  <w:style w:type="character" w:styleId="ListLabel614">
    <w:name w:val="ListLabel 614"/>
    <w:qFormat/>
    <w:rPr>
      <w:b/>
      <w:i w:val="false"/>
      <w:sz w:val="28"/>
      <w:szCs w:val="28"/>
    </w:rPr>
  </w:style>
  <w:style w:type="character" w:styleId="ListLabel615">
    <w:name w:val="ListLabel 615"/>
    <w:qFormat/>
    <w:rPr>
      <w:rFonts w:eastAsia="Calibri"/>
      <w:b/>
      <w:bCs/>
      <w:color w:val="000000"/>
      <w:lang w:eastAsia="ar-SA"/>
    </w:rPr>
  </w:style>
  <w:style w:type="character" w:styleId="ListLabel616">
    <w:name w:val="ListLabel 616"/>
    <w:qFormat/>
    <w:rPr>
      <w:rFonts w:eastAsia="Arial Unicode MS" w:cs="Times New Roman"/>
      <w:b/>
      <w:bCs/>
      <w:sz w:val="24"/>
      <w:szCs w:val="28"/>
    </w:rPr>
  </w:style>
  <w:style w:type="character" w:styleId="ListLabel617">
    <w:name w:val="ListLabel 617"/>
    <w:qFormat/>
    <w:rPr>
      <w:rFonts w:cs="Symbol"/>
      <w:sz w:val="24"/>
    </w:rPr>
  </w:style>
  <w:style w:type="character" w:styleId="ListLabel618">
    <w:name w:val="ListLabel 618"/>
    <w:qFormat/>
    <w:rPr>
      <w:rFonts w:ascii="Liberation Serif" w:hAnsi="Liberation Serif" w:cs="LatoWeb;Times New Roman"/>
      <w:sz w:val="24"/>
      <w:szCs w:val="24"/>
      <w:highlight w:val="white"/>
    </w:rPr>
  </w:style>
  <w:style w:type="character" w:styleId="ListLabel619">
    <w:name w:val="ListLabel 619"/>
    <w:qFormat/>
    <w:rPr>
      <w:rFonts w:ascii="Liberation Serif" w:hAnsi="Liberation Serif"/>
      <w:b w:val="false"/>
      <w:bCs w:val="false"/>
      <w:spacing w:val="2"/>
      <w:sz w:val="24"/>
      <w:szCs w:val="24"/>
    </w:rPr>
  </w:style>
  <w:style w:type="character" w:styleId="ListLabel620">
    <w:name w:val="ListLabel 620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21">
    <w:name w:val="ListLabel 621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22">
    <w:name w:val="ListLabel 622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623">
    <w:name w:val="ListLabel 623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624">
    <w:name w:val="ListLabel 624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625">
    <w:name w:val="ListLabel 625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626">
    <w:name w:val="ListLabel 626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627">
    <w:name w:val="ListLabel 627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628">
    <w:name w:val="ListLabel 628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29">
    <w:name w:val="ListLabel 629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30">
    <w:name w:val="ListLabel 630"/>
    <w:qFormat/>
    <w:rPr>
      <w:rFonts w:cs="Times New Roman"/>
      <w:sz w:val="24"/>
    </w:rPr>
  </w:style>
  <w:style w:type="character" w:styleId="ListLabel631">
    <w:name w:val="ListLabel 631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32">
    <w:name w:val="ListLabel 632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633">
    <w:name w:val="ListLabel 63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34">
    <w:name w:val="ListLabel 634"/>
    <w:qFormat/>
    <w:rPr>
      <w:rFonts w:eastAsia="Times New Roman" w:cs="Times New Roman"/>
      <w:sz w:val="24"/>
      <w:szCs w:val="24"/>
      <w:lang w:eastAsia="ru-RU"/>
    </w:rPr>
  </w:style>
  <w:style w:type="character" w:styleId="ListLabel635">
    <w:name w:val="ListLabel 635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36">
    <w:name w:val="ListLabel 636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37">
    <w:name w:val="ListLabel 637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638">
    <w:name w:val="ListLabel 638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39">
    <w:name w:val="ListLabel 639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640">
    <w:name w:val="ListLabel 640"/>
    <w:qFormat/>
    <w:rPr>
      <w:rFonts w:eastAsia="Times New Roman" w:cs="Times New Roman"/>
      <w:sz w:val="24"/>
      <w:szCs w:val="24"/>
      <w:lang w:eastAsia="ru-RU"/>
    </w:rPr>
  </w:style>
  <w:style w:type="character" w:styleId="ListLabel641">
    <w:name w:val="ListLabel 641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42">
    <w:name w:val="ListLabel 642"/>
    <w:qFormat/>
    <w:rPr>
      <w:rFonts w:cs="Times New Roman"/>
      <w:sz w:val="24"/>
      <w:szCs w:val="24"/>
    </w:rPr>
  </w:style>
  <w:style w:type="character" w:styleId="Style22">
    <w:name w:val="Посещённая гиперссылка"/>
    <w:rPr>
      <w:color w:val="800000"/>
      <w:u w:val="single"/>
      <w:lang w:val="zxx" w:eastAsia="zxx" w:bidi="zxx"/>
    </w:rPr>
  </w:style>
  <w:style w:type="character" w:styleId="ListLabel643">
    <w:name w:val="ListLabel 643"/>
    <w:qFormat/>
    <w:rPr>
      <w:rFonts w:eastAsia="Calibri"/>
      <w:b/>
      <w:bCs/>
      <w:color w:val="000000"/>
      <w:lang w:eastAsia="ar-SA"/>
    </w:rPr>
  </w:style>
  <w:style w:type="character" w:styleId="ListLabel644">
    <w:name w:val="ListLabel 644"/>
    <w:qFormat/>
    <w:rPr>
      <w:rFonts w:cs="Symbol"/>
      <w:sz w:val="24"/>
    </w:rPr>
  </w:style>
  <w:style w:type="character" w:styleId="ListLabel645">
    <w:name w:val="ListLabel 645"/>
    <w:qFormat/>
    <w:rPr>
      <w:rFonts w:ascii="Liberation Serif" w:hAnsi="Liberation Serif"/>
      <w:b w:val="false"/>
      <w:bCs w:val="false"/>
      <w:color w:val="auto"/>
      <w:spacing w:val="2"/>
      <w:sz w:val="24"/>
      <w:szCs w:val="24"/>
      <w:lang w:eastAsia="ko-KR"/>
    </w:rPr>
  </w:style>
  <w:style w:type="character" w:styleId="ListLabel646">
    <w:name w:val="ListLabel 646"/>
    <w:qFormat/>
    <w:rPr>
      <w:rFonts w:cs="Times New Roman"/>
      <w:b w:val="false"/>
      <w:bCs w:val="false"/>
      <w:color w:val="auto"/>
      <w:sz w:val="24"/>
      <w:szCs w:val="24"/>
      <w:lang w:eastAsia="ko-KR"/>
    </w:rPr>
  </w:style>
  <w:style w:type="character" w:styleId="ListLabel647">
    <w:name w:val="ListLabel 647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highlight w:val="white"/>
      <w:lang w:eastAsia="ko-KR"/>
    </w:rPr>
  </w:style>
  <w:style w:type="character" w:styleId="ListLabel648">
    <w:name w:val="ListLabel 648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lang w:eastAsia="ko-KR"/>
    </w:rPr>
  </w:style>
  <w:style w:type="character" w:styleId="ListLabel649">
    <w:name w:val="ListLabel 649"/>
    <w:qFormat/>
    <w:rPr>
      <w:rFonts w:ascii="Liberation Serif" w:hAnsi="Liberation Serif" w:cs="LatoWeb;Times New Roman"/>
      <w:b w:val="false"/>
      <w:bCs w:val="false"/>
      <w:i w:val="false"/>
      <w:iCs w:val="false"/>
      <w:color w:val="auto"/>
      <w:sz w:val="24"/>
      <w:szCs w:val="24"/>
      <w:u w:val="none"/>
      <w:lang w:eastAsia="ko-KR"/>
    </w:rPr>
  </w:style>
  <w:style w:type="character" w:styleId="ListLabel650">
    <w:name w:val="ListLabel 650"/>
    <w:qFormat/>
    <w:rPr>
      <w:rFonts w:cs="Times New Roman"/>
      <w:b w:val="false"/>
      <w:bCs w:val="false"/>
      <w:iCs/>
      <w:color w:val="auto"/>
      <w:spacing w:val="2"/>
      <w:sz w:val="24"/>
      <w:szCs w:val="24"/>
      <w:lang w:eastAsia="ko-KR"/>
    </w:rPr>
  </w:style>
  <w:style w:type="character" w:styleId="ListLabel651">
    <w:name w:val="ListLabel 651"/>
    <w:qFormat/>
    <w:rPr>
      <w:rFonts w:ascii="Liberation Serif" w:hAnsi="Liberation Serif" w:cs="LatoWeb;Times New Roman"/>
      <w:b w:val="false"/>
      <w:bCs w:val="false"/>
      <w:i w:val="false"/>
      <w:caps w:val="false"/>
      <w:smallCaps w:val="false"/>
      <w:color w:val="auto"/>
      <w:spacing w:val="0"/>
      <w:sz w:val="24"/>
      <w:szCs w:val="24"/>
      <w:u w:val="none"/>
      <w:lang w:eastAsia="ko-KR"/>
    </w:rPr>
  </w:style>
  <w:style w:type="character" w:styleId="ListLabel652">
    <w:name w:val="ListLabel 652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53">
    <w:name w:val="ListLabel 653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54">
    <w:name w:val="ListLabel 654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655">
    <w:name w:val="ListLabel 655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656">
    <w:name w:val="ListLabel 656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657">
    <w:name w:val="ListLabel 657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658">
    <w:name w:val="ListLabel 658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659">
    <w:name w:val="ListLabel 659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660">
    <w:name w:val="ListLabel 660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61">
    <w:name w:val="ListLabel 661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62">
    <w:name w:val="ListLabel 662"/>
    <w:qFormat/>
    <w:rPr>
      <w:rFonts w:cs="Times New Roman"/>
      <w:sz w:val="24"/>
    </w:rPr>
  </w:style>
  <w:style w:type="character" w:styleId="ListLabel663">
    <w:name w:val="ListLabel 663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64">
    <w:name w:val="ListLabel 664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665">
    <w:name w:val="ListLabel 665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66">
    <w:name w:val="ListLabel 666"/>
    <w:qFormat/>
    <w:rPr>
      <w:rFonts w:eastAsia="Times New Roman" w:cs="Times New Roman"/>
      <w:sz w:val="24"/>
      <w:szCs w:val="24"/>
      <w:lang w:eastAsia="ru-RU"/>
    </w:rPr>
  </w:style>
  <w:style w:type="character" w:styleId="ListLabel667">
    <w:name w:val="ListLabel 667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68">
    <w:name w:val="ListLabel 668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69">
    <w:name w:val="ListLabel 669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670">
    <w:name w:val="ListLabel 670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71">
    <w:name w:val="ListLabel 671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672">
    <w:name w:val="ListLabel 672"/>
    <w:qFormat/>
    <w:rPr>
      <w:rFonts w:eastAsia="Times New Roman" w:cs="Times New Roman"/>
      <w:sz w:val="24"/>
      <w:szCs w:val="24"/>
      <w:lang w:eastAsia="ru-RU"/>
    </w:rPr>
  </w:style>
  <w:style w:type="character" w:styleId="ListLabel673">
    <w:name w:val="ListLabel 673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74">
    <w:name w:val="ListLabel 674"/>
    <w:qFormat/>
    <w:rPr>
      <w:rFonts w:cs="Times New Roman"/>
      <w:sz w:val="24"/>
      <w:szCs w:val="24"/>
    </w:rPr>
  </w:style>
  <w:style w:type="character" w:styleId="ListLabel675">
    <w:name w:val="ListLabel 675"/>
    <w:qFormat/>
    <w:rPr>
      <w:rFonts w:eastAsia="Calibri"/>
      <w:b/>
      <w:bCs/>
      <w:color w:val="000000"/>
      <w:lang w:eastAsia="ar-SA"/>
    </w:rPr>
  </w:style>
  <w:style w:type="character" w:styleId="ListLabel676">
    <w:name w:val="ListLabel 676"/>
    <w:qFormat/>
    <w:rPr>
      <w:rFonts w:cs="Symbol"/>
      <w:sz w:val="24"/>
    </w:rPr>
  </w:style>
  <w:style w:type="character" w:styleId="ListLabel677">
    <w:name w:val="ListLabel 677"/>
    <w:qFormat/>
    <w:rPr>
      <w:rFonts w:ascii="Liberation Serif" w:hAnsi="Liberation Serif"/>
      <w:b w:val="false"/>
      <w:bCs w:val="false"/>
      <w:color w:val="auto"/>
      <w:spacing w:val="2"/>
      <w:sz w:val="24"/>
      <w:szCs w:val="24"/>
      <w:lang w:eastAsia="ko-KR"/>
    </w:rPr>
  </w:style>
  <w:style w:type="character" w:styleId="ListLabel678">
    <w:name w:val="ListLabel 678"/>
    <w:qFormat/>
    <w:rPr>
      <w:rFonts w:cs="Times New Roman"/>
      <w:b w:val="false"/>
      <w:bCs w:val="false"/>
      <w:color w:val="auto"/>
      <w:sz w:val="24"/>
      <w:szCs w:val="24"/>
      <w:lang w:eastAsia="ko-KR"/>
    </w:rPr>
  </w:style>
  <w:style w:type="character" w:styleId="ListLabel679">
    <w:name w:val="ListLabel 679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highlight w:val="white"/>
      <w:lang w:eastAsia="ko-KR"/>
    </w:rPr>
  </w:style>
  <w:style w:type="character" w:styleId="ListLabel680">
    <w:name w:val="ListLabel 680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lang w:eastAsia="ko-KR"/>
    </w:rPr>
  </w:style>
  <w:style w:type="character" w:styleId="ListLabel681">
    <w:name w:val="ListLabel 681"/>
    <w:qFormat/>
    <w:rPr>
      <w:rFonts w:ascii="Liberation Serif" w:hAnsi="Liberation Serif" w:cs="LatoWeb;Times New Roman"/>
      <w:b w:val="false"/>
      <w:bCs w:val="false"/>
      <w:i w:val="false"/>
      <w:iCs w:val="false"/>
      <w:color w:val="auto"/>
      <w:sz w:val="24"/>
      <w:szCs w:val="24"/>
      <w:u w:val="none"/>
      <w:lang w:eastAsia="ko-KR"/>
    </w:rPr>
  </w:style>
  <w:style w:type="character" w:styleId="ListLabel682">
    <w:name w:val="ListLabel 682"/>
    <w:qFormat/>
    <w:rPr>
      <w:rFonts w:cs="Times New Roman"/>
      <w:b w:val="false"/>
      <w:bCs w:val="false"/>
      <w:iCs/>
      <w:color w:val="auto"/>
      <w:spacing w:val="2"/>
      <w:sz w:val="24"/>
      <w:szCs w:val="24"/>
      <w:lang w:eastAsia="ko-KR"/>
    </w:rPr>
  </w:style>
  <w:style w:type="character" w:styleId="ListLabel683">
    <w:name w:val="ListLabel 683"/>
    <w:qFormat/>
    <w:rPr>
      <w:rFonts w:ascii="Liberation Serif" w:hAnsi="Liberation Serif" w:cs="LatoWeb;Times New Roman"/>
      <w:b w:val="false"/>
      <w:bCs w:val="false"/>
      <w:i w:val="false"/>
      <w:caps w:val="false"/>
      <w:smallCaps w:val="false"/>
      <w:color w:val="auto"/>
      <w:spacing w:val="0"/>
      <w:sz w:val="24"/>
      <w:szCs w:val="24"/>
      <w:u w:val="none"/>
      <w:lang w:eastAsia="ko-KR"/>
    </w:rPr>
  </w:style>
  <w:style w:type="character" w:styleId="ListLabel684">
    <w:name w:val="ListLabel 684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85">
    <w:name w:val="ListLabel 685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86">
    <w:name w:val="ListLabel 686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687">
    <w:name w:val="ListLabel 687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688">
    <w:name w:val="ListLabel 688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689">
    <w:name w:val="ListLabel 689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690">
    <w:name w:val="ListLabel 690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691">
    <w:name w:val="ListLabel 691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692">
    <w:name w:val="ListLabel 692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93">
    <w:name w:val="ListLabel 69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94">
    <w:name w:val="ListLabel 694"/>
    <w:qFormat/>
    <w:rPr>
      <w:rFonts w:cs="Times New Roman"/>
      <w:sz w:val="24"/>
    </w:rPr>
  </w:style>
  <w:style w:type="character" w:styleId="ListLabel695">
    <w:name w:val="ListLabel 695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96">
    <w:name w:val="ListLabel 696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697">
    <w:name w:val="ListLabel 697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98">
    <w:name w:val="ListLabel 698"/>
    <w:qFormat/>
    <w:rPr>
      <w:rFonts w:eastAsia="Times New Roman" w:cs="Times New Roman"/>
      <w:sz w:val="24"/>
      <w:szCs w:val="24"/>
      <w:lang w:eastAsia="ru-RU"/>
    </w:rPr>
  </w:style>
  <w:style w:type="character" w:styleId="ListLabel699">
    <w:name w:val="ListLabel 699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700">
    <w:name w:val="ListLabel 700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701">
    <w:name w:val="ListLabel 701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702">
    <w:name w:val="ListLabel 702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703">
    <w:name w:val="ListLabel 703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704">
    <w:name w:val="ListLabel 704"/>
    <w:qFormat/>
    <w:rPr>
      <w:rFonts w:eastAsia="Times New Roman" w:cs="Times New Roman"/>
      <w:sz w:val="24"/>
      <w:szCs w:val="24"/>
      <w:lang w:eastAsia="ru-RU"/>
    </w:rPr>
  </w:style>
  <w:style w:type="character" w:styleId="ListLabel705">
    <w:name w:val="ListLabel 705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706">
    <w:name w:val="ListLabel 706"/>
    <w:qFormat/>
    <w:rPr>
      <w:rFonts w:cs="Times New Roman"/>
      <w:sz w:val="24"/>
      <w:szCs w:val="24"/>
    </w:rPr>
  </w:style>
  <w:style w:type="character" w:styleId="ListLabel707">
    <w:name w:val="ListLabel 707"/>
    <w:qFormat/>
    <w:rPr>
      <w:rFonts w:eastAsia="Calibri"/>
      <w:b/>
      <w:bCs/>
      <w:color w:val="000000"/>
      <w:lang w:eastAsia="ar-SA"/>
    </w:rPr>
  </w:style>
  <w:style w:type="character" w:styleId="ListLabel708">
    <w:name w:val="ListLabel 708"/>
    <w:qFormat/>
    <w:rPr>
      <w:rFonts w:cs="Symbol"/>
      <w:sz w:val="24"/>
    </w:rPr>
  </w:style>
  <w:style w:type="character" w:styleId="ListLabel709">
    <w:name w:val="ListLabel 709"/>
    <w:qFormat/>
    <w:rPr>
      <w:rFonts w:ascii="Liberation Serif" w:hAnsi="Liberation Serif"/>
      <w:b w:val="false"/>
      <w:bCs w:val="false"/>
      <w:color w:val="auto"/>
      <w:spacing w:val="2"/>
      <w:sz w:val="24"/>
      <w:szCs w:val="24"/>
      <w:lang w:eastAsia="ko-KR"/>
    </w:rPr>
  </w:style>
  <w:style w:type="character" w:styleId="ListLabel710">
    <w:name w:val="ListLabel 710"/>
    <w:qFormat/>
    <w:rPr>
      <w:rFonts w:cs="Times New Roman"/>
      <w:b w:val="false"/>
      <w:bCs w:val="false"/>
      <w:color w:val="auto"/>
      <w:sz w:val="24"/>
      <w:szCs w:val="24"/>
      <w:lang w:eastAsia="ko-KR"/>
    </w:rPr>
  </w:style>
  <w:style w:type="character" w:styleId="ListLabel711">
    <w:name w:val="ListLabel 711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highlight w:val="white"/>
      <w:lang w:eastAsia="ko-KR"/>
    </w:rPr>
  </w:style>
  <w:style w:type="character" w:styleId="ListLabel712">
    <w:name w:val="ListLabel 712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lang w:eastAsia="ko-KR"/>
    </w:rPr>
  </w:style>
  <w:style w:type="character" w:styleId="ListLabel713">
    <w:name w:val="ListLabel 713"/>
    <w:qFormat/>
    <w:rPr>
      <w:rFonts w:ascii="Liberation Serif" w:hAnsi="Liberation Serif" w:cs="LatoWeb;Times New Roman"/>
      <w:b w:val="false"/>
      <w:bCs w:val="false"/>
      <w:i w:val="false"/>
      <w:iCs w:val="false"/>
      <w:color w:val="auto"/>
      <w:sz w:val="24"/>
      <w:szCs w:val="24"/>
      <w:u w:val="none"/>
      <w:lang w:eastAsia="ko-KR"/>
    </w:rPr>
  </w:style>
  <w:style w:type="character" w:styleId="ListLabel714">
    <w:name w:val="ListLabel 714"/>
    <w:qFormat/>
    <w:rPr>
      <w:rFonts w:cs="Times New Roman"/>
      <w:b w:val="false"/>
      <w:bCs w:val="false"/>
      <w:iCs/>
      <w:color w:val="auto"/>
      <w:spacing w:val="2"/>
      <w:sz w:val="24"/>
      <w:szCs w:val="24"/>
      <w:lang w:eastAsia="ko-KR"/>
    </w:rPr>
  </w:style>
  <w:style w:type="character" w:styleId="ListLabel715">
    <w:name w:val="ListLabel 715"/>
    <w:qFormat/>
    <w:rPr>
      <w:rFonts w:ascii="Liberation Serif" w:hAnsi="Liberation Serif" w:cs="LatoWeb;Times New Roman"/>
      <w:b w:val="false"/>
      <w:bCs w:val="false"/>
      <w:i w:val="false"/>
      <w:caps w:val="false"/>
      <w:smallCaps w:val="false"/>
      <w:color w:val="auto"/>
      <w:spacing w:val="0"/>
      <w:sz w:val="24"/>
      <w:szCs w:val="24"/>
      <w:u w:val="none"/>
      <w:lang w:eastAsia="ko-KR"/>
    </w:rPr>
  </w:style>
  <w:style w:type="character" w:styleId="ListLabel716">
    <w:name w:val="ListLabel 716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717">
    <w:name w:val="ListLabel 717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718">
    <w:name w:val="ListLabel 718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719">
    <w:name w:val="ListLabel 719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720">
    <w:name w:val="ListLabel 720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721">
    <w:name w:val="ListLabel 721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722">
    <w:name w:val="ListLabel 722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723">
    <w:name w:val="ListLabel 723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724">
    <w:name w:val="ListLabel 724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725">
    <w:name w:val="ListLabel 725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726">
    <w:name w:val="ListLabel 726"/>
    <w:qFormat/>
    <w:rPr>
      <w:rFonts w:cs="Times New Roman"/>
      <w:sz w:val="24"/>
    </w:rPr>
  </w:style>
  <w:style w:type="character" w:styleId="ListLabel727">
    <w:name w:val="ListLabel 727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728">
    <w:name w:val="ListLabel 728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729">
    <w:name w:val="ListLabel 729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730">
    <w:name w:val="ListLabel 730"/>
    <w:qFormat/>
    <w:rPr>
      <w:rFonts w:eastAsia="Times New Roman" w:cs="Times New Roman"/>
      <w:sz w:val="24"/>
      <w:szCs w:val="24"/>
      <w:lang w:eastAsia="ru-RU"/>
    </w:rPr>
  </w:style>
  <w:style w:type="character" w:styleId="ListLabel731">
    <w:name w:val="ListLabel 731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732">
    <w:name w:val="ListLabel 732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733">
    <w:name w:val="ListLabel 733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734">
    <w:name w:val="ListLabel 734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735">
    <w:name w:val="ListLabel 735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736">
    <w:name w:val="ListLabel 736"/>
    <w:qFormat/>
    <w:rPr>
      <w:rFonts w:eastAsia="Times New Roman" w:cs="Times New Roman"/>
      <w:sz w:val="24"/>
      <w:szCs w:val="24"/>
      <w:lang w:eastAsia="ru-RU"/>
    </w:rPr>
  </w:style>
  <w:style w:type="character" w:styleId="ListLabel737">
    <w:name w:val="ListLabel 737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738">
    <w:name w:val="ListLabel 738"/>
    <w:qFormat/>
    <w:rPr>
      <w:rFonts w:cs="Times New Roman"/>
      <w:sz w:val="24"/>
      <w:szCs w:val="24"/>
    </w:rPr>
  </w:style>
  <w:style w:type="paragraph" w:styleId="Style23">
    <w:name w:val="Заголовок"/>
    <w:basedOn w:val="Normal"/>
    <w:next w:val="Style24"/>
    <w:qFormat/>
    <w:pPr>
      <w:jc w:val="center"/>
    </w:pPr>
    <w:rPr>
      <w:szCs w:val="20"/>
      <w:lang w:val="ru-RU"/>
    </w:rPr>
  </w:style>
  <w:style w:type="paragraph" w:styleId="Style24">
    <w:name w:val="Body Text"/>
    <w:basedOn w:val="Normal"/>
    <w:pPr>
      <w:spacing w:lineRule="auto" w:line="276" w:before="0" w:after="120"/>
    </w:pPr>
    <w:rPr>
      <w:rFonts w:eastAsia="Calibri"/>
      <w:smallCaps/>
      <w:lang w:val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yle28">
    <w:name w:val="Footer"/>
    <w:basedOn w:val="Normal"/>
    <w:pPr/>
    <w:rPr>
      <w:lang w:val="ru-RU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1">
    <w:name w:val="Без интервала1"/>
    <w:qFormat/>
    <w:pPr>
      <w:widowControl/>
      <w:overflowPunct w:val="false"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Style2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0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211">
    <w:name w:val="Основной текст 21"/>
    <w:basedOn w:val="Normal"/>
    <w:qFormat/>
    <w:pPr>
      <w:suppressAutoHyphens w:val="true"/>
      <w:spacing w:lineRule="auto" w:line="480" w:before="0" w:after="120"/>
    </w:pPr>
    <w:rPr/>
  </w:style>
  <w:style w:type="paragraph" w:styleId="Style32">
    <w:name w:val="Содержимое таблицы"/>
    <w:basedOn w:val="Normal"/>
    <w:qFormat/>
    <w:pPr>
      <w:widowControl w:val="false"/>
      <w:suppressLineNumbers/>
      <w:suppressAutoHyphens w:val="true"/>
    </w:pPr>
    <w:rPr>
      <w:rFonts w:ascii="Arial" w:hAnsi="Arial" w:eastAsia="Arial Unicode MS" w:cs="Arial"/>
      <w:kern w:val="2"/>
      <w:sz w:val="20"/>
    </w:rPr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Footnote Text"/>
    <w:basedOn w:val="Normal"/>
    <w:pPr/>
    <w:rPr>
      <w:sz w:val="20"/>
      <w:szCs w:val="20"/>
      <w:lang w:val="ru-RU"/>
    </w:rPr>
  </w:style>
  <w:style w:type="paragraph" w:styleId="Style35">
    <w:name w:val="абзац-Азар"/>
    <w:basedOn w:val="Style34"/>
    <w:qFormat/>
    <w:pPr>
      <w:widowControl w:val="false"/>
      <w:ind w:left="0" w:right="0" w:firstLine="400"/>
      <w:jc w:val="both"/>
    </w:pPr>
    <w:rPr/>
  </w:style>
  <w:style w:type="paragraph" w:styleId="Style36">
    <w:name w:val="Body Text Indent"/>
    <w:basedOn w:val="Normal"/>
    <w:pPr>
      <w:spacing w:before="0" w:after="120"/>
      <w:ind w:left="283" w:right="0" w:hanging="0"/>
    </w:pPr>
    <w:rPr>
      <w:lang w:val="ru-RU"/>
    </w:rPr>
  </w:style>
  <w:style w:type="paragraph" w:styleId="11">
    <w:name w:val="Обычный1"/>
    <w:qFormat/>
    <w:pPr>
      <w:widowControl w:val="false"/>
      <w:bidi w:val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studentlibrary.ru/book/ISBN9785987045879.html" TargetMode="External"/><Relationship Id="rId5" Type="http://schemas.openxmlformats.org/officeDocument/2006/relationships/hyperlink" Target="http://www.studentlibrary.ru/book/ISBN9785392163960.html" TargetMode="External"/><Relationship Id="rId6" Type="http://schemas.openxmlformats.org/officeDocument/2006/relationships/hyperlink" Target="http://www.studentlibrary.ru/book/ISBN9785732510133.html" TargetMode="External"/><Relationship Id="rId7" Type="http://schemas.openxmlformats.org/officeDocument/2006/relationships/hyperlink" Target="http://www.studentlibrary.ru/book/ISBN9785392218196.html" TargetMode="External"/><Relationship Id="rId8" Type="http://schemas.openxmlformats.org/officeDocument/2006/relationships/hyperlink" Target="http://www.studentlibrary.ru/book/ISBN9785222218402.html" TargetMode="External"/><Relationship Id="rId9" Type="http://schemas.openxmlformats.org/officeDocument/2006/relationships/hyperlink" Target="http://www.studentlibrary.ru/book/ISBN9785392175130.html" TargetMode="External"/><Relationship Id="rId10" Type="http://schemas.openxmlformats.org/officeDocument/2006/relationships/hyperlink" Target="http://www.studentlibrary.ru/book/ISBN9785704225423.html" TargetMode="External"/><Relationship Id="rId11" Type="http://schemas.openxmlformats.org/officeDocument/2006/relationships/hyperlink" Target="http://www.iprbookshop.ru/98809.html" TargetMode="External"/><Relationship Id="rId12" Type="http://schemas.openxmlformats.org/officeDocument/2006/relationships/hyperlink" Target="http://www.iprbookshop.ru/63520.html" TargetMode="External"/><Relationship Id="rId13" Type="http://schemas.openxmlformats.org/officeDocument/2006/relationships/hyperlink" Target="http://www.studentlibrary.ru/" TargetMode="External"/><Relationship Id="rId14" Type="http://schemas.openxmlformats.org/officeDocument/2006/relationships/hyperlink" Target="http://www.iprbookshop.ru/" TargetMode="External"/><Relationship Id="rId15" Type="http://schemas.openxmlformats.org/officeDocument/2006/relationships/hyperlink" Target="https://biblio.asu.edu.ru/" TargetMode="External"/><Relationship Id="rId16" Type="http://schemas.openxmlformats.org/officeDocument/2006/relationships/hyperlink" Target="http://www.studentlibrary.ru/" TargetMode="External"/><Relationship Id="rId17" Type="http://schemas.openxmlformats.org/officeDocument/2006/relationships/hyperlink" Target="http://www.biblio-online.ru/" TargetMode="External"/><Relationship Id="rId18" Type="http://schemas.openxmlformats.org/officeDocument/2006/relationships/hyperlink" Target="https://urait.ru/" TargetMode="External"/><Relationship Id="rId19" Type="http://schemas.openxmlformats.org/officeDocument/2006/relationships/hyperlink" Target="http://www.iprbookshop.ru/" TargetMode="External"/><Relationship Id="rId20" Type="http://schemas.openxmlformats.org/officeDocument/2006/relationships/hyperlink" Target="https://library.asu.edu.ru/" TargetMode="External"/><Relationship Id="rId21" Type="http://schemas.openxmlformats.org/officeDocument/2006/relationships/hyperlink" Target="http://journal.asu.edu.ru/" TargetMode="External"/><Relationship Id="rId22" Type="http://schemas.openxmlformats.org/officeDocument/2006/relationships/hyperlink" Target="http://asu.edu.ru/images/File/dogovor_IVIS1.pdf" TargetMode="External"/><Relationship Id="rId23" Type="http://schemas.openxmlformats.org/officeDocument/2006/relationships/hyperlink" Target="http://dlib.eastview.com/" TargetMode="External"/><Relationship Id="rId24" Type="http://schemas.openxmlformats.org/officeDocument/2006/relationships/hyperlink" Target="&#1069;&#1083;&#1077;&#1082;&#1090;&#1088;&#1086;&#1085;&#1085;&#1086;-&#1073;&#1080;&#1073;&#1083;&#1080;&#1086;&#1090;&#1077;&#1095;&#1085;&#1072;&#1103;" TargetMode="External"/><Relationship Id="rId25" Type="http://schemas.openxmlformats.org/officeDocument/2006/relationships/hyperlink" Target="http://elibrary.ru/" TargetMode="External"/><Relationship Id="rId26" Type="http://schemas.openxmlformats.org/officeDocument/2006/relationships/hyperlink" Target="http://mars.arbicon.ru/" TargetMode="External"/><Relationship Id="rId27" Type="http://schemas.openxmlformats.org/officeDocument/2006/relationships/hyperlink" Target="http://www.polpred.com/" TargetMode="External"/><Relationship Id="rId28" Type="http://schemas.openxmlformats.org/officeDocument/2006/relationships/hyperlink" Target="http://www.consultant.ru/" TargetMode="External"/><Relationship Id="rId29" Type="http://schemas.openxmlformats.org/officeDocument/2006/relationships/hyperlink" Target="http://garant-astrakhan.ru/" TargetMode="External"/><Relationship Id="rId30" Type="http://schemas.openxmlformats.org/officeDocument/2006/relationships/hyperlink" Target="http://window.edu.ru/" TargetMode="External"/><Relationship Id="rId31" Type="http://schemas.openxmlformats.org/officeDocument/2006/relationships/hyperlink" Target="https://minobrnauki.gov.ru/" TargetMode="External"/><Relationship Id="rId32" Type="http://schemas.openxmlformats.org/officeDocument/2006/relationships/hyperlink" Target="https://edu.gov.ru/" TargetMode="External"/><Relationship Id="rId33" Type="http://schemas.openxmlformats.org/officeDocument/2006/relationships/hyperlink" Target="http://www.ege.edu.ru/" TargetMode="External"/><Relationship Id="rId34" Type="http://schemas.openxmlformats.org/officeDocument/2006/relationships/hyperlink" Target="https://fadm.gov.ru/" TargetMode="External"/><Relationship Id="rId35" Type="http://schemas.openxmlformats.org/officeDocument/2006/relationships/hyperlink" Target="http://obrnadzor.gov.ru/" TargetMode="External"/><Relationship Id="rId36" Type="http://schemas.openxmlformats.org/officeDocument/2006/relationships/hyperlink" Target="http://zhit-vmeste.ru/" TargetMode="External"/><Relationship Id="rId37" Type="http://schemas.openxmlformats.org/officeDocument/2006/relationships/hyperlink" Target="https://&#1088;&#1076;&#1096;.&#1088;&#1092;" TargetMode="External"/><Relationship Id="rId38" Type="http://schemas.openxmlformats.org/officeDocument/2006/relationships/hyperlink" Target="http://www.netacad.com/" TargetMode="External"/><Relationship Id="rId39" Type="http://schemas.openxmlformats.org/officeDocument/2006/relationships/footer" Target="footer1.xml"/><Relationship Id="rId40" Type="http://schemas.openxmlformats.org/officeDocument/2006/relationships/footer" Target="footer2.xml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613</TotalTime>
  <Application>LibreOffice/6.0.7.3$Linux_X86_64 LibreOffice_project/00m0$Build-3</Application>
  <Pages>16</Pages>
  <Words>3946</Words>
  <Characters>31068</Characters>
  <CharactersWithSpaces>34669</CharactersWithSpaces>
  <Paragraphs>437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2020-07-06T11:32:00Z</dcterms:created>
  <dc:creator>AMT</dc:creator>
  <dc:description/>
  <dc:language>ru-RU</dc:language>
  <cp:lastModifiedBy/>
  <cp:lastPrinted>2018-07-05T13:06:00Z</cp:lastPrinted>
  <dcterms:modified xsi:type="dcterms:W3CDTF">2021-04-20T14:48:48Z</dcterms:modified>
  <cp:revision>33</cp:revision>
  <dc:subject/>
  <dc:title/>
</cp:coreProperties>
</file>