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АСТРАХАНСКИЙ ГОСУДАРСТВЕННЫЙ УНИВЕРСИТЕТ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644"/>
      </w:tblGrid>
      <w:tr w:rsidR="009C477A">
        <w:trPr>
          <w:trHeight w:val="16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ОПОП ВО</w:t>
            </w:r>
          </w:p>
          <w:p w:rsidR="009C477A" w:rsidRDefault="00D1357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Федотова</w:t>
            </w:r>
            <w:bookmarkStart w:id="0" w:name="_GoBack"/>
            <w:bookmarkEnd w:id="0"/>
          </w:p>
          <w:p w:rsidR="009C477A" w:rsidRDefault="007F3E52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</w:t>
            </w:r>
            <w:r w:rsidR="00E71999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85AF3">
              <w:rPr>
                <w:rFonts w:ascii="Times New Roman" w:hAnsi="Times New Roman"/>
                <w:sz w:val="24"/>
                <w:szCs w:val="24"/>
              </w:rPr>
              <w:t>июня 2020</w:t>
            </w:r>
            <w:r w:rsidR="00E7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9C477A">
            <w:pPr>
              <w:pStyle w:val="A7"/>
              <w:jc w:val="right"/>
              <w:rPr>
                <w:rFonts w:hint="eastAsia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 мировой экономики и финансов Е.В. Крюкова</w:t>
            </w:r>
          </w:p>
          <w:p w:rsidR="009C477A" w:rsidRDefault="009C477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E71999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«04</w:t>
            </w:r>
            <w:r w:rsidR="007F3E5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85AF3">
              <w:rPr>
                <w:rFonts w:ascii="Times New Roman" w:hAnsi="Times New Roman"/>
                <w:sz w:val="24"/>
                <w:szCs w:val="24"/>
              </w:rPr>
              <w:t>июня 2020</w:t>
            </w:r>
            <w:r w:rsidR="007F3E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ПРОГРАММА ДИСЦИПЛИНЫ 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</w:rPr>
        <w:t>Проблемы современной экономики</w:t>
      </w:r>
    </w:p>
    <w:tbl>
      <w:tblPr>
        <w:tblStyle w:val="TableNormal"/>
        <w:tblW w:w="9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225"/>
        <w:gridCol w:w="4110"/>
      </w:tblGrid>
      <w:tr w:rsidR="009C477A" w:rsidRPr="00D85AF3">
        <w:trPr>
          <w:trHeight w:val="2654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 направленность (профиль)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AF3" w:rsidRPr="00D85AF3" w:rsidRDefault="00D85AF3" w:rsidP="00D85AF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rPr>
                <w:rFonts w:hint="eastAsia"/>
                <w:b/>
                <w:bCs/>
                <w:color w:val="333333"/>
                <w:u w:color="333333"/>
                <w:shd w:val="clear" w:color="auto" w:fill="FFFFFF"/>
              </w:rPr>
            </w:pPr>
            <w:r w:rsidRPr="00D85AF3">
              <w:rPr>
                <w:b/>
                <w:bCs/>
                <w:color w:val="333333"/>
                <w:u w:color="333333"/>
                <w:shd w:val="clear" w:color="auto" w:fill="FFFFFF"/>
              </w:rPr>
              <w:t xml:space="preserve">06.06.01 Биологические науки. </w:t>
            </w:r>
          </w:p>
          <w:p w:rsidR="009C477A" w:rsidRDefault="009C477A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rPr>
                <w:rFonts w:hint="eastAsia"/>
              </w:rPr>
            </w:pPr>
          </w:p>
        </w:tc>
      </w:tr>
      <w:tr w:rsidR="00D85AF3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AF3" w:rsidRDefault="00D85AF3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D85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Направленность (профиль) ОПОП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AF3" w:rsidRPr="00E71999" w:rsidRDefault="00E71999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Почвоведение</w:t>
            </w:r>
          </w:p>
        </w:tc>
      </w:tr>
      <w:tr w:rsidR="009C477A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110" w:type="dxa"/>
            <w:tcBorders>
              <w:top w:val="single" w:sz="4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Заочная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приема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E71999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</w:tbl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993"/>
        <w:gridCol w:w="5639"/>
      </w:tblGrid>
      <w:tr w:rsidR="009C477A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  <w:tr w:rsidR="009C477A" w:rsidRPr="00D13572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Скоблева Э.И., доцент, д.э.н., профессор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 w:rsidP="00CF3B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D85AF3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Астрахань – 2020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bCs/>
          <w:sz w:val="24"/>
          <w:szCs w:val="24"/>
        </w:rPr>
        <w:t>Целями освоения дисциплины (модуля)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являются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Задачи освоения дисциплины (модуля):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выявление, анализ и разрешение проблем инновационного развития национальной экономики,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ДИСЦИПЛИНЫ (МОДУЛЯ) В СТРУКТУРЕ ОПОП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b/>
          <w:bCs/>
          <w:sz w:val="24"/>
          <w:szCs w:val="24"/>
        </w:rPr>
        <w:t>Учебная дисциплина (модуль)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i/>
          <w:iCs/>
          <w:sz w:val="24"/>
          <w:szCs w:val="24"/>
        </w:rPr>
        <w:t>к вариативной части (элективные курсы) — факультативы.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bCs/>
          <w:sz w:val="24"/>
          <w:szCs w:val="24"/>
        </w:rPr>
        <w:t>Данная учебная дисциплина (модуля) формирует следующие знания, умения и навыки: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>
        <w:rPr>
          <w:rFonts w:ascii="Times New Roman" w:hAnsi="Times New Roman"/>
          <w:sz w:val="24"/>
          <w:szCs w:val="24"/>
        </w:rPr>
        <w:t xml:space="preserve">«Философия бережливого производства».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аспирантами данной дисциплины будет способствовать формированию современного экономического мышления, целостного представления о развитии основных элементов экономики и механизмах управления.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подготовки:</w:t>
      </w:r>
    </w:p>
    <w:p w:rsidR="009C477A" w:rsidRDefault="007F3E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  <w:r>
        <w:rPr>
          <w:lang w:val="ru-RU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i/>
          <w:iCs/>
          <w:lang w:val="ru-RU"/>
        </w:rPr>
        <w:t xml:space="preserve">  </w:t>
      </w: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Таблица 1.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10"/>
      </w:tblGrid>
      <w:tr w:rsidR="009C477A" w:rsidRPr="00D13572">
        <w:trPr>
          <w:trHeight w:val="31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Код компетенции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Планируемые результаты освоения дисциплины (модуля)</w:t>
            </w:r>
          </w:p>
        </w:tc>
      </w:tr>
      <w:tr w:rsidR="009C477A">
        <w:trPr>
          <w:trHeight w:val="31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Знать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Уметь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Владеть</w:t>
            </w:r>
          </w:p>
        </w:tc>
      </w:tr>
      <w:tr w:rsidR="009C477A" w:rsidRPr="00D13572">
        <w:trPr>
          <w:trHeight w:val="541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УК-1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СТРУКТУРА И СОДЕРЖАНИЕ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Объем дисциплины (модуля): 1 зачетная единица, 36 академических или астрономических часов, контактная работа - 4 часа, самостоятельная работа - 32 часа.</w:t>
      </w: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дисциплины (модуля)</w:t>
      </w:r>
    </w:p>
    <w:tbl>
      <w:tblPr>
        <w:tblStyle w:val="TableNormal"/>
        <w:tblW w:w="934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9C477A" w:rsidRPr="00D13572">
        <w:trPr>
          <w:trHeight w:val="1144"/>
          <w:jc w:val="right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Самостоят. 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темам)</w:t>
            </w:r>
          </w:p>
          <w:p w:rsidR="009C477A" w:rsidRDefault="009C477A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семестрам)</w:t>
            </w:r>
          </w:p>
        </w:tc>
      </w:tr>
      <w:tr w:rsidR="009C477A">
        <w:trPr>
          <w:trHeight w:val="1991"/>
          <w:jc w:val="right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</w:tcPr>
          <w:p w:rsidR="009C477A" w:rsidRDefault="009C477A"/>
        </w:tc>
      </w:tr>
      <w:tr w:rsidR="009C477A">
        <w:trPr>
          <w:trHeight w:val="15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глобализация и проблемы национальной и 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25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2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300"/>
          <w:jc w:val="right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left" w:pos="284"/>
          <w:tab w:val="right" w:leader="underscore" w:pos="9612"/>
        </w:tabs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3.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и формируемых в них компетенций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9C477A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Темы,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9C477A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2.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Тема 3.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4.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numPr>
          <w:ilvl w:val="0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Экономическая глобализация и проблемы национальной и международной безопасности.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9C477A" w:rsidRDefault="007F3E52">
      <w:pPr>
        <w:pStyle w:val="A7"/>
        <w:numPr>
          <w:ilvl w:val="1"/>
          <w:numId w:val="5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Возможности использования инструментов государственного регулирования экономики.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Проблемы повышения производительности труда и экономического роста.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антициклическая политика. 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Дифференциация доходов, особенности миграционных процессов в условиях глобализации экономики.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ДЛЯ САМОСТОЯТЕЛЬНОЙ РАБОТЫ ОБУЧАЮЩИХСЯ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соответствии с требованиями ФГОС ВО по направлениям подготовки реализация компетентностного подхода предусматривается использование в учебном процессе  в рамках данной дисциплины лекционных занятий с использованием презентации.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 </w:t>
      </w:r>
      <w:r>
        <w:rPr>
          <w:rFonts w:ascii="Times New Roman" w:hAnsi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4.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9C477A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</w:tr>
      <w:tr w:rsidR="009C477A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Сущность и основные показатели экономической безопасности. </w:t>
            </w:r>
          </w:p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Особенности экономических кризисов в развитых странах в настоящее время. Государственная антициклическая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250" w:hanging="2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/>
          <w:bCs/>
          <w:sz w:val="24"/>
          <w:szCs w:val="24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9C477A" w:rsidRDefault="009C477A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написанию эссе</w:t>
      </w: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Вступление. Здесь необходимо обозначить проблему, указанную в задании.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эссе – 3-4 страницы текста, выполненных в формате Microsoft Word,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D85AF3" w:rsidRP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hint="eastAsia"/>
          <w:sz w:val="24"/>
          <w:szCs w:val="24"/>
        </w:rPr>
      </w:pPr>
      <w:r w:rsidRPr="00D85AF3">
        <w:rPr>
          <w:sz w:val="24"/>
          <w:szCs w:val="24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Образовательные технологии.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ходе освоения дисциплины применяются следующие 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peer education/равный обучает равного; кейс-стади (case-study), педагогические игровые упражнения (в качестве коллективного задания), ситуационные методы. </w:t>
      </w:r>
    </w:p>
    <w:p w:rsidR="00D85AF3" w:rsidRPr="00D85AF3" w:rsidRDefault="00D85AF3" w:rsidP="00D85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D85AF3">
        <w:rPr>
          <w:rFonts w:eastAsia="Times New Roman" w:cs="Times New Roman"/>
          <w:color w:val="auto"/>
          <w:bdr w:val="none" w:sz="0" w:space="0" w:color="auto"/>
        </w:rPr>
        <w:t>on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и/или </w:t>
      </w:r>
      <w:r w:rsidRPr="00D85AF3">
        <w:rPr>
          <w:rFonts w:eastAsia="Times New Roman" w:cs="Times New Roman"/>
          <w:color w:val="auto"/>
          <w:bdr w:val="none" w:sz="0" w:space="0" w:color="auto"/>
        </w:rPr>
        <w:t>off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в формах: 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lastRenderedPageBreak/>
        <w:t>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др)</w:t>
      </w:r>
      <w:r>
        <w:rPr>
          <w:rFonts w:eastAsia="Times New Roman" w:cs="Times New Roman"/>
          <w:color w:val="auto"/>
          <w:bdr w:val="none" w:sz="0" w:space="0" w:color="auto"/>
          <w:lang w:val="ru-RU"/>
        </w:rPr>
        <w:t>.</w:t>
      </w:r>
    </w:p>
    <w:p w:rsidR="00D85AF3" w:rsidRP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Информационные технологии.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электронных учебников и различных сайтов как источник информации;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электронной почты преподавателя;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D85AF3" w:rsidRDefault="00D85AF3" w:rsidP="00D85AF3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85AF3">
        <w:rPr>
          <w:rFonts w:ascii="Times New Roman" w:hAnsi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Moodle) или иных информационных </w:t>
      </w:r>
      <w:r>
        <w:rPr>
          <w:rFonts w:ascii="Times New Roman" w:hAnsi="Times New Roman"/>
          <w:sz w:val="24"/>
          <w:szCs w:val="24"/>
        </w:rPr>
        <w:t>систем, сервисов и мессенджеров.</w:t>
      </w: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Перечень программного обеспечения и информационных справочных систем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40562230"/>
      <w:r>
        <w:rPr>
          <w:rFonts w:ascii="Times New Roman" w:hAnsi="Times New Roman"/>
          <w:b/>
          <w:bCs/>
          <w:i/>
          <w:iCs/>
          <w:sz w:val="24"/>
          <w:szCs w:val="24"/>
        </w:rPr>
        <w:t>Лицензионное программное обеспечение: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Adobe Reader - программа для просмотра электронных документов</w:t>
      </w:r>
    </w:p>
    <w:p w:rsidR="00D85AF3" w:rsidRPr="00D85AF3" w:rsidRDefault="00D85AF3" w:rsidP="00D85AF3">
      <w:pPr>
        <w:pStyle w:val="ab"/>
        <w:numPr>
          <w:ilvl w:val="0"/>
          <w:numId w:val="8"/>
        </w:numPr>
        <w:rPr>
          <w:lang w:val="ru-RU"/>
        </w:rPr>
      </w:pPr>
      <w:r w:rsidRPr="00D85AF3">
        <w:rPr>
          <w:lang w:val="ru-RU"/>
        </w:rPr>
        <w:t>Платформа дистанционного обучения LМS Moodle</w:t>
      </w:r>
      <w:r w:rsidRPr="00D85AF3">
        <w:rPr>
          <w:lang w:val="ru-RU"/>
        </w:rPr>
        <w:tab/>
        <w:t xml:space="preserve">Виртуальная обучающая среда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Mozilla FireFox_-браузер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Office 2013, Microsoft Office Project 2013, Microsoft Office Visio 2013 - </w:t>
      </w: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7-zip - архиватор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Windows 7 Professional - </w:t>
      </w: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bookmarkEnd w:id="1"/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color w:val="FF2600"/>
          <w:sz w:val="24"/>
          <w:szCs w:val="24"/>
          <w:u w:color="FF2600"/>
          <w:lang w:val="en-US"/>
        </w:rPr>
      </w:pPr>
    </w:p>
    <w:p w:rsidR="009C477A" w:rsidRDefault="009C477A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И ПРОМЕЖУТОЧНОЙ АТТЕСТАЦИИ ПО ДИСЦИПЛИНЕ (МОДУЛЮ)</w:t>
      </w:r>
    </w:p>
    <w:p w:rsidR="009C477A" w:rsidRDefault="009C477A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 Паспорт фонда оценочных средств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5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Соответствие разделов, тем дисциплины (модуля),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9C477A">
        <w:trPr>
          <w:trHeight w:val="12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9C477A">
        <w:trPr>
          <w:trHeight w:val="3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  <w:bookmarkStart w:id="2" w:name="_Hlk40562295"/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6</w:t>
      </w:r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9C477A">
        <w:trPr>
          <w:trHeight w:val="6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jc w:val="center"/>
            </w:pPr>
            <w:r>
              <w:lastRenderedPageBreak/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jc w:val="center"/>
            </w:pPr>
            <w:r>
              <w:t>Критерии оценивания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9C477A">
        <w:trPr>
          <w:trHeight w:val="121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</w:pPr>
            <w:r>
              <w:rPr>
                <w:lang w:val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9C477A" w:rsidRPr="00D13572">
        <w:trPr>
          <w:trHeight w:val="207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Дан недостаточно полный и недостаточно развернутый ответ. 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lang w:val="ru-RU"/>
              </w:rPr>
            </w:pPr>
            <w:r>
              <w:rPr>
                <w:lang w:val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Или ответ на вопрос полностью отсутствует, или отказ от ответа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9C477A" w:rsidRDefault="009C477A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Оценочные средства для промежуточного и итогового контроля успеваемости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Текущий контроль — дискуссия (вклад в итоговую оценку – 60%)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Промежуточный контроль — эссе (вклад в итоговую оценку – 40%)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Рекомендуемые типы контроля для оценивания результатов обучения.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ab/>
        <w:t>Примерная тематика эссе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: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Участие России в международном разделении труда, место экономики России в мировом хозяйстве.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Анализ основных макроэкономических показателей и международные сопоставления экономики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Тенденции изменения отраслевой структуры и проблемы структурной перестройки российской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Дифференциация регионов по уровню социально-экономического развития.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Основные показатели уровня и качества жизни населения России. Межстрановые сравнения.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Свободные экономические зоны. Опыт создания СЭЗ в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Масштабы теневой экономики в России. Основные формы и сферы теневой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Роль Центрального Банка в обеспечении устойчивости банковской системы.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Децентрализация функций государства: аргументы за и против.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Принципы построения системы межбюджетных отношений и их применение в федеративных государствах.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Роль государства в развитии экономики: взаимоотношения бизнеса и власти в современной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Перспективы и проблемы государственного и частного секторов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Конкурентоспособность продукции, предприятий, страны: методы измерения и анализа.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Условия повышения производительности труда.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Инновационная экономика: стадия глобального развития и перспективы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Цели и задачи управления государственным долгом.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Монетарная политика в условиях глобализации.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обсуждения научной статьи.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Аспиранты заблаговременно оповещаются о теме предстоящего семинара</w:t>
      </w:r>
      <w:r>
        <w:rPr>
          <w:rFonts w:ascii="Times New Roman" w:hAnsi="Times New Roman"/>
          <w:spacing w:val="-4"/>
          <w:sz w:val="24"/>
          <w:szCs w:val="24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Сформулируйте основную идею текста в одном предложении.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Предложите название статьи.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Перечислите основные разделы введения.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разделы, которые вводят Вас в заблуждение, если таковые имеются.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Определите, достаточна ли детализация материала в каждом параграфе (факты, цифры, примеры)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основные приемы аргументации автора.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Охарактеризуйте достоинства статьи.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Цель</w:t>
      </w:r>
      <w:r>
        <w:rPr>
          <w:rFonts w:ascii="Times New Roman" w:hAnsi="Times New Roman"/>
          <w:spacing w:val="-4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Целевая аудитория</w:t>
      </w:r>
      <w:r>
        <w:rPr>
          <w:rFonts w:ascii="Times New Roman" w:hAnsi="Times New Roman"/>
          <w:spacing w:val="-4"/>
          <w:sz w:val="24"/>
          <w:szCs w:val="24"/>
        </w:rPr>
        <w:t>: аспиранты 1 курса.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Вопросы для обсуждения</w:t>
      </w:r>
      <w:r>
        <w:rPr>
          <w:rFonts w:ascii="Times New Roman" w:hAnsi="Times New Roman"/>
          <w:spacing w:val="-4"/>
          <w:sz w:val="24"/>
          <w:szCs w:val="24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Регламент</w:t>
      </w:r>
      <w:r>
        <w:rPr>
          <w:rFonts w:ascii="Times New Roman" w:hAnsi="Times New Roman"/>
          <w:spacing w:val="-4"/>
          <w:sz w:val="24"/>
          <w:szCs w:val="24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  <w:bookmarkEnd w:id="2"/>
    </w:p>
    <w:p w:rsidR="009C477A" w:rsidRDefault="009C477A">
      <w:pPr>
        <w:tabs>
          <w:tab w:val="right" w:leader="underscore" w:pos="9612"/>
        </w:tabs>
        <w:ind w:firstLine="567"/>
        <w:jc w:val="both"/>
        <w:outlineLvl w:val="1"/>
        <w:rPr>
          <w:spacing w:val="-4"/>
          <w:lang w:val="ru-RU"/>
        </w:rPr>
      </w:pPr>
    </w:p>
    <w:p w:rsidR="009C477A" w:rsidRDefault="007F3E52">
      <w:pPr>
        <w:tabs>
          <w:tab w:val="right" w:leader="underscore" w:pos="9612"/>
        </w:tabs>
        <w:ind w:firstLine="567"/>
        <w:jc w:val="both"/>
        <w:outlineLvl w:val="1"/>
        <w:rPr>
          <w:color w:val="FF0000"/>
          <w:u w:color="FF0000"/>
          <w:lang w:val="ru-RU"/>
        </w:rPr>
      </w:pPr>
      <w:bookmarkStart w:id="3" w:name="_Hlk40562316"/>
      <w:r>
        <w:rPr>
          <w:b/>
          <w:bCs/>
          <w:u w:color="FF0000"/>
          <w:lang w:val="ru-RU"/>
        </w:rPr>
        <w:t xml:space="preserve">7.4. Методические материалы, определяющие процедуры оценивания знаний, умений, навыков и (или) опыта деятельности.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</w:t>
      </w:r>
      <w:r>
        <w:rPr>
          <w:rFonts w:ascii="Times New Roman" w:hAnsi="Times New Roman"/>
          <w:sz w:val="24"/>
          <w:szCs w:val="24"/>
        </w:rPr>
        <w:lastRenderedPageBreak/>
        <w:t xml:space="preserve">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  <w:bookmarkEnd w:id="3"/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ДИСЦИПЛИНЫ (МОДУЛЯ)</w:t>
      </w: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а) Основная литература: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0562336"/>
      <w:r>
        <w:rPr>
          <w:rFonts w:ascii="Times New Roman" w:hAnsi="Times New Roman"/>
          <w:spacing w:val="-4"/>
          <w:sz w:val="24"/>
          <w:szCs w:val="24"/>
        </w:rPr>
        <w:t xml:space="preserve">Опарина, Т.А. Современные проблемы и тенденции развития экономики и управления в XXI веке : сборник статей.  М. : Русайнс, 2018. URL: </w:t>
      </w:r>
      <w:hyperlink r:id="rId7" w:history="1">
        <w:r>
          <w:rPr>
            <w:rStyle w:val="Hyperlink0"/>
            <w:rFonts w:ascii="Times New Roman" w:hAnsi="Times New Roman"/>
            <w:spacing w:val="-4"/>
            <w:sz w:val="24"/>
            <w:szCs w:val="24"/>
          </w:rPr>
          <w:t>https://book.ru/book/931883.</w:t>
        </w:r>
        <w:r>
          <w:rPr>
            <w:rStyle w:val="aa"/>
            <w:rFonts w:ascii="Times New Roman" w:hAnsi="Times New Roman"/>
            <w:spacing w:val="-4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 .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Электронная библиотечная система BOOK.ru. www.bооk.ru</w:t>
      </w:r>
      <w:bookmarkEnd w:id="4"/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Современные тенденции развития цифровой экономики. Реалии, проблемы и влияние на финансы : монография / Политковская И.В., под ред., Шпилькина Т.А., под ред., Жидкова М.А., под ред., Федорова М.А., под ред., Фролова В.Б., под ред. М. : Русайнс</w:t>
      </w:r>
      <w:r>
        <w:rPr>
          <w:rFonts w:ascii="Times New Roman" w:hAnsi="Times New Roman"/>
          <w:spacing w:val="-4"/>
          <w:sz w:val="24"/>
          <w:szCs w:val="24"/>
          <w:lang w:val="pt-PT"/>
        </w:rPr>
        <w:t>, 2019.</w:t>
      </w:r>
      <w:r>
        <w:rPr>
          <w:rFonts w:ascii="Times New Roman" w:hAnsi="Times New Roman"/>
          <w:spacing w:val="-4"/>
          <w:sz w:val="24"/>
          <w:szCs w:val="24"/>
        </w:rPr>
        <w:t xml:space="preserve"> URL: https://book.ru/book/934466.</w:t>
      </w:r>
      <w: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html.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8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</w:p>
    <w:p w:rsidR="009C477A" w:rsidRDefault="009C477A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i/>
          <w:iCs/>
          <w:u w:color="FF0000"/>
        </w:rPr>
      </w:pP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Дополнительная литература: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color="FF0000"/>
        </w:rPr>
        <w:t>Ерохин А.М., Черникова В.Е., Сергодеева Е.А., Каширина О.В., Филюшкина Д.В., Асланова М.Т., Коротков В.Е., Сапрыкина Е.В., сост. Философия и методология науки. М: 2017.</w:t>
      </w:r>
      <w:r>
        <w:rPr>
          <w:rFonts w:ascii="Times New Roman" w:hAnsi="Times New Roman"/>
          <w:spacing w:val="-4"/>
          <w:sz w:val="24"/>
          <w:szCs w:val="24"/>
        </w:rPr>
        <w:t xml:space="preserve"> URL: </w:t>
      </w:r>
      <w:r>
        <w:rPr>
          <w:rFonts w:ascii="Times New Roman" w:hAnsi="Times New Roman"/>
          <w:spacing w:val="-4"/>
          <w:sz w:val="24"/>
          <w:szCs w:val="24"/>
          <w:u w:color="FF0000"/>
        </w:rPr>
        <w:t>https://www.book.ru/book/929931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9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bookmarkStart w:id="5" w:name="_Hlk40562404"/>
      <w:r>
        <w:rPr>
          <w:rFonts w:ascii="Times New Roman" w:hAnsi="Times New Roman"/>
          <w:b/>
          <w:bCs/>
          <w:spacing w:val="-4"/>
          <w:sz w:val="24"/>
          <w:szCs w:val="24"/>
        </w:rPr>
        <w:t>в) Перечень ресурсов информационно-телекоммуникационной сети «Интернет»,       необходимый для освоения дисциплины (модуля):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БиблиоТех». </w:t>
      </w:r>
      <w:hyperlink r:id="rId10" w:history="1">
        <w:r>
          <w:rPr>
            <w:rFonts w:ascii="Times New Roman" w:hAnsi="Times New Roman"/>
            <w:sz w:val="24"/>
            <w:szCs w:val="24"/>
            <w:lang w:val="pt-PT"/>
          </w:rPr>
          <w:t>https://biblio.asu.edu.ru</w:t>
        </w:r>
      </w:hyperlink>
      <w:r>
        <w:rPr>
          <w:rFonts w:ascii="Times New Roman" w:hAnsi="Times New Roman"/>
          <w:sz w:val="24"/>
          <w:szCs w:val="24"/>
        </w:rPr>
        <w:t xml:space="preserve"> Учетная запись образовательного портала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(ЭБС) ООО «Политехресурс»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CF3B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studentlibrary</w:t>
      </w:r>
      <w:r w:rsidRPr="00CF3B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Регистрация с компьютеров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издательства ЮРАЙТ, раздел «Легендарные книги». www.biblio-online.ru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BOOK.ru. www.bооk.ru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IPRbooks. www.iprbookshop.ru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МГППУ. </w:t>
      </w:r>
      <w:hyperlink r:id="rId11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psychlib</w:t>
        </w:r>
        <w:r w:rsidRPr="00CF3B7A"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Научной библиотеки АГУ на базе </w:t>
      </w:r>
      <w:r>
        <w:rPr>
          <w:rFonts w:ascii="Times New Roman" w:hAnsi="Times New Roman"/>
          <w:sz w:val="24"/>
          <w:szCs w:val="24"/>
          <w:lang w:val="de-DE"/>
        </w:rPr>
        <w:t xml:space="preserve">MARK SQL </w:t>
      </w:r>
      <w:r>
        <w:rPr>
          <w:rFonts w:ascii="Times New Roman" w:hAnsi="Times New Roman"/>
          <w:sz w:val="24"/>
          <w:szCs w:val="24"/>
        </w:rPr>
        <w:t>НПО «Информ-систем»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 w:rsidRPr="00CF3B7A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library</w:t>
      </w:r>
      <w:r w:rsidRPr="00CF3B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asu</w:t>
      </w:r>
      <w:r w:rsidRPr="00CF3B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edu</w:t>
      </w:r>
      <w:r w:rsidRPr="00CF3B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«Научные журналы АГУ»: </w:t>
      </w:r>
      <w:hyperlink r:id="rId12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journal</w:t>
        </w:r>
        <w:r w:rsidRPr="00CF3B7A"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asu</w:t>
        </w:r>
        <w:r w:rsidRPr="00CF3B7A"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edu</w:t>
        </w:r>
        <w:r w:rsidRPr="00CF3B7A"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ru</w:t>
        </w:r>
        <w:r w:rsidRPr="00CF3B7A">
          <w:rPr>
            <w:rFonts w:ascii="Times New Roman" w:hAnsi="Times New Roman"/>
            <w:sz w:val="24"/>
            <w:szCs w:val="24"/>
          </w:rPr>
          <w:t>/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Универсальная справочно-информационная полнотекстовая база данных периодических изданий ООО "ИВИС". http://dlib.eastview.com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Имя пользователя</w:t>
      </w:r>
      <w:r>
        <w:rPr>
          <w:rFonts w:ascii="Times New Roman" w:hAnsi="Times New Roman"/>
          <w:sz w:val="24"/>
          <w:szCs w:val="24"/>
        </w:rPr>
        <w:t xml:space="preserve">: AstrGU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Пароль</w:t>
      </w:r>
      <w:r>
        <w:rPr>
          <w:rFonts w:ascii="Times New Roman" w:hAnsi="Times New Roman"/>
          <w:sz w:val="24"/>
          <w:szCs w:val="24"/>
        </w:rPr>
        <w:t>: AstrGU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elibrary. http://elibrary.ru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</w:t>
      </w:r>
      <w:r>
        <w:rPr>
          <w:rFonts w:ascii="Times New Roman" w:hAnsi="Times New Roman"/>
          <w:sz w:val="24"/>
          <w:szCs w:val="24"/>
        </w:rPr>
        <w:lastRenderedPageBreak/>
        <w:t xml:space="preserve">отсканированных статей из книг, сборников, журналов, содержащихся в фондах их библиотек. </w:t>
      </w:r>
      <w:hyperlink r:id="rId13" w:history="1">
        <w:r>
          <w:rPr>
            <w:rFonts w:ascii="Times New Roman" w:hAnsi="Times New Roman"/>
            <w:sz w:val="24"/>
            <w:szCs w:val="24"/>
          </w:rPr>
          <w:t>http://mars.arbicon.ru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Справочная правовая система КонсультантПлюс.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 </w:t>
      </w:r>
      <w:hyperlink r:id="rId14" w:history="1">
        <w:r>
          <w:rPr>
            <w:rFonts w:ascii="Times New Roman" w:hAnsi="Times New Roman"/>
            <w:sz w:val="24"/>
            <w:szCs w:val="24"/>
          </w:rPr>
          <w:t>http://www.consultant.ru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 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 </w:t>
      </w:r>
      <w:hyperlink r:id="rId15" w:history="1">
        <w:r>
          <w:rPr>
            <w:rFonts w:ascii="Times New Roman" w:hAnsi="Times New Roman"/>
            <w:sz w:val="24"/>
            <w:szCs w:val="24"/>
          </w:rPr>
          <w:t>http://garant-astrakhan.ru</w:t>
        </w:r>
      </w:hyperlink>
    </w:p>
    <w:bookmarkEnd w:id="5"/>
    <w:p w:rsidR="009C477A" w:rsidRDefault="009C477A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Интерактивная доска.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9C477A">
      <w:headerReference w:type="default" r:id="rId16"/>
      <w:footerReference w:type="default" r:id="rId1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5A6" w:rsidRDefault="001D55A6">
      <w:r>
        <w:separator/>
      </w:r>
    </w:p>
  </w:endnote>
  <w:endnote w:type="continuationSeparator" w:id="0">
    <w:p w:rsidR="001D55A6" w:rsidRDefault="001D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5A6" w:rsidRDefault="001D55A6">
      <w:r>
        <w:separator/>
      </w:r>
    </w:p>
  </w:footnote>
  <w:footnote w:type="continuationSeparator" w:id="0">
    <w:p w:rsidR="001D55A6" w:rsidRDefault="001D5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CC1"/>
    <w:multiLevelType w:val="hybridMultilevel"/>
    <w:tmpl w:val="A5DC867E"/>
    <w:styleLink w:val="a"/>
    <w:lvl w:ilvl="0" w:tplc="F0A81EA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6159C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4FAD8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877C0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08194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DC12CE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EDC8C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0C9C72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204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811ED7"/>
    <w:multiLevelType w:val="hybridMultilevel"/>
    <w:tmpl w:val="9918DD00"/>
    <w:styleLink w:val="1"/>
    <w:lvl w:ilvl="0" w:tplc="E286CB6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6A503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0076B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F0EC4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90D4A4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2476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A2FB8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ACC2D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CEC72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C30707"/>
    <w:multiLevelType w:val="hybridMultilevel"/>
    <w:tmpl w:val="9918DD00"/>
    <w:numStyleLink w:val="1"/>
  </w:abstractNum>
  <w:abstractNum w:abstractNumId="3" w15:restartNumberingAfterBreak="0">
    <w:nsid w:val="56024526"/>
    <w:multiLevelType w:val="hybridMultilevel"/>
    <w:tmpl w:val="E88E1CCE"/>
    <w:styleLink w:val="a0"/>
    <w:lvl w:ilvl="0" w:tplc="92A2CFF2">
      <w:start w:val="1"/>
      <w:numFmt w:val="bullet"/>
      <w:lvlText w:val="•"/>
      <w:lvlJc w:val="left"/>
      <w:pPr>
        <w:tabs>
          <w:tab w:val="right" w:leader="underscore" w:pos="961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6737C">
      <w:start w:val="1"/>
      <w:numFmt w:val="bullet"/>
      <w:lvlText w:val="•"/>
      <w:lvlJc w:val="left"/>
      <w:pPr>
        <w:tabs>
          <w:tab w:val="right" w:leader="underscore" w:pos="961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4EB7AA">
      <w:start w:val="1"/>
      <w:numFmt w:val="bullet"/>
      <w:lvlText w:val="•"/>
      <w:lvlJc w:val="left"/>
      <w:pPr>
        <w:tabs>
          <w:tab w:val="right" w:leader="underscore" w:pos="961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426558">
      <w:start w:val="1"/>
      <w:numFmt w:val="bullet"/>
      <w:lvlText w:val="•"/>
      <w:lvlJc w:val="left"/>
      <w:pPr>
        <w:tabs>
          <w:tab w:val="right" w:leader="underscore" w:pos="961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2AB22">
      <w:start w:val="1"/>
      <w:numFmt w:val="bullet"/>
      <w:lvlText w:val="•"/>
      <w:lvlJc w:val="left"/>
      <w:pPr>
        <w:tabs>
          <w:tab w:val="right" w:leader="underscore" w:pos="961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41D68">
      <w:start w:val="1"/>
      <w:numFmt w:val="bullet"/>
      <w:lvlText w:val="•"/>
      <w:lvlJc w:val="left"/>
      <w:pPr>
        <w:tabs>
          <w:tab w:val="right" w:leader="underscore" w:pos="961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8C218">
      <w:start w:val="1"/>
      <w:numFmt w:val="bullet"/>
      <w:lvlText w:val="•"/>
      <w:lvlJc w:val="left"/>
      <w:pPr>
        <w:tabs>
          <w:tab w:val="right" w:leader="underscore" w:pos="961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68380">
      <w:start w:val="1"/>
      <w:numFmt w:val="bullet"/>
      <w:lvlText w:val="•"/>
      <w:lvlJc w:val="left"/>
      <w:pPr>
        <w:tabs>
          <w:tab w:val="right" w:leader="underscore" w:pos="961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8F372">
      <w:start w:val="1"/>
      <w:numFmt w:val="bullet"/>
      <w:lvlText w:val="•"/>
      <w:lvlJc w:val="left"/>
      <w:pPr>
        <w:tabs>
          <w:tab w:val="right" w:leader="underscore" w:pos="961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E30D40"/>
    <w:multiLevelType w:val="hybridMultilevel"/>
    <w:tmpl w:val="E88E1CCE"/>
    <w:numStyleLink w:val="a0"/>
  </w:abstractNum>
  <w:abstractNum w:abstractNumId="5" w15:restartNumberingAfterBreak="0">
    <w:nsid w:val="7D322C36"/>
    <w:multiLevelType w:val="hybridMultilevel"/>
    <w:tmpl w:val="A5DC867E"/>
    <w:numStyleLink w:val="a"/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5"/>
    <w:lvlOverride w:ilvl="1">
      <w:startOverride w:val="2"/>
    </w:lvlOverride>
  </w:num>
  <w:num w:numId="6">
    <w:abstractNumId w:val="5"/>
    <w:lvlOverride w:ilvl="0">
      <w:startOverride w:val="1"/>
      <w:lvl w:ilvl="0" w:tplc="8FE47FC2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808D32E">
        <w:start w:val="1"/>
        <w:numFmt w:val="decimal"/>
        <w:lvlText w:val="%2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50A014">
        <w:start w:val="1"/>
        <w:numFmt w:val="lowerLetter"/>
        <w:lvlText w:val="%3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D7ED43A">
        <w:start w:val="1"/>
        <w:numFmt w:val="lowerLetter"/>
        <w:lvlText w:val="%4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D1A01FC">
        <w:start w:val="1"/>
        <w:numFmt w:val="lowerLetter"/>
        <w:lvlText w:val="%5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DC2726A">
        <w:start w:val="1"/>
        <w:numFmt w:val="lowerLetter"/>
        <w:lvlText w:val="%6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E58CA32">
        <w:start w:val="1"/>
        <w:numFmt w:val="lowerLetter"/>
        <w:lvlText w:val="%7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0D82C96">
        <w:start w:val="1"/>
        <w:numFmt w:val="lowerLetter"/>
        <w:lvlText w:val="%8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300526A">
        <w:start w:val="1"/>
        <w:numFmt w:val="lowerLetter"/>
        <w:lvlText w:val="%9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514A024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30D8C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5876A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865DFC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7A5E0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B0FBE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C49F7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CC2A08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0A35B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514A024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30D8C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5876A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865DFC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7A5E0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B0FBE6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C49F7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CC2A08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0A35B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8FE47FC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08D32E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50A014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7ED43A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1A01FC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C2726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58CA3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D82C96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00526A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</w:num>
  <w:num w:numId="11">
    <w:abstractNumId w:val="2"/>
  </w:num>
  <w:num w:numId="12">
    <w:abstractNumId w:val="4"/>
    <w:lvlOverride w:ilvl="0">
      <w:lvl w:ilvl="0" w:tplc="514A0240">
        <w:start w:val="1"/>
        <w:numFmt w:val="bullet"/>
        <w:lvlText w:val="•"/>
        <w:lvlJc w:val="left"/>
        <w:pPr>
          <w:ind w:left="1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30D8C2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5876AE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865DFC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7A5E00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B0FBE6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C49F70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CC2A08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0A35B8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7A"/>
    <w:rsid w:val="00080276"/>
    <w:rsid w:val="001D55A6"/>
    <w:rsid w:val="00716611"/>
    <w:rsid w:val="007F3E52"/>
    <w:rsid w:val="009C477A"/>
    <w:rsid w:val="009D0297"/>
    <w:rsid w:val="00B43FC9"/>
    <w:rsid w:val="00CF3B7A"/>
    <w:rsid w:val="00D13572"/>
    <w:rsid w:val="00D85AF3"/>
    <w:rsid w:val="00E7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F0E89-1330-4C31-AA01-6ACB940E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</w:rPr>
  </w:style>
  <w:style w:type="numbering" w:customStyle="1" w:styleId="a0">
    <w:name w:val="Пункт"/>
    <w:pPr>
      <w:numPr>
        <w:numId w:val="1"/>
      </w:numPr>
    </w:pPr>
  </w:style>
  <w:style w:type="paragraph" w:styleId="a8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3"/>
      </w:numPr>
    </w:pPr>
  </w:style>
  <w:style w:type="paragraph" w:customStyle="1" w:styleId="a9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0"/>
      </w:numPr>
    </w:pPr>
  </w:style>
  <w:style w:type="character" w:customStyle="1" w:styleId="aa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a"/>
    <w:rPr>
      <w:color w:val="0000FF"/>
      <w:spacing w:val="0"/>
      <w:u w:val="single" w:color="0000FF"/>
      <w:lang w:val="ru-RU"/>
    </w:rPr>
  </w:style>
  <w:style w:type="paragraph" w:styleId="ab">
    <w:name w:val="List Paragraph"/>
    <w:basedOn w:val="a1"/>
    <w:uiPriority w:val="34"/>
    <w:qFormat/>
    <w:rsid w:val="00D8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k-fmca.ru" TargetMode="External"/><Relationship Id="rId13" Type="http://schemas.openxmlformats.org/officeDocument/2006/relationships/hyperlink" Target="http://mars.arbico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ru/book/931883.html" TargetMode="External"/><Relationship Id="rId12" Type="http://schemas.openxmlformats.org/officeDocument/2006/relationships/hyperlink" Target="http://journal.asu.edu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chli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rant-astrakhan.ru" TargetMode="External"/><Relationship Id="rId10" Type="http://schemas.openxmlformats.org/officeDocument/2006/relationships/hyperlink" Target="https://biblio.asu.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xn--bk-fmca.ru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3556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Джадраева Аделя</cp:lastModifiedBy>
  <cp:revision>3</cp:revision>
  <dcterms:created xsi:type="dcterms:W3CDTF">2020-12-07T11:53:00Z</dcterms:created>
  <dcterms:modified xsi:type="dcterms:W3CDTF">2020-12-14T08:17:00Z</dcterms:modified>
</cp:coreProperties>
</file>