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0F779413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9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Тимофеева</w:t>
            </w:r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46FE6641" w14:textId="08A9D6F7" w:rsidR="00984FF9" w:rsidRPr="00984FF9" w:rsidRDefault="00984FF9" w:rsidP="00984FF9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84FF9">
              <w:rPr>
                <w:rFonts w:ascii="Times New Roman" w:hAnsi="Times New Roman" w:cs="Times New Roman"/>
                <w:b/>
                <w:bCs/>
              </w:rPr>
              <w:t>46.06.01  ИСТОРИЧЕСКИЕ</w:t>
            </w:r>
            <w:proofErr w:type="gramEnd"/>
            <w:r w:rsidRPr="00984FF9">
              <w:rPr>
                <w:rFonts w:ascii="Times New Roman" w:hAnsi="Times New Roman" w:cs="Times New Roman"/>
                <w:b/>
                <w:bCs/>
              </w:rPr>
              <w:t xml:space="preserve"> НАУКИ И АРХЕОЛОГИЯ</w:t>
            </w: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2EA782EA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FF9">
              <w:rPr>
                <w:rFonts w:ascii="Times New Roman" w:hAnsi="Times New Roman" w:cs="Times New Roman"/>
                <w:b/>
              </w:rPr>
              <w:t>ОТЕЧЕСТВЕННАЯ ИСТОРИЯ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bookmarkStart w:id="0" w:name="_GoBack"/>
            <w:bookmarkEnd w:id="0"/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94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94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9402C3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94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94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FA4DE" w14:textId="77777777" w:rsidR="009402C3" w:rsidRDefault="009402C3">
      <w:pPr>
        <w:spacing w:after="0" w:line="240" w:lineRule="auto"/>
      </w:pPr>
      <w:r>
        <w:separator/>
      </w:r>
    </w:p>
  </w:endnote>
  <w:endnote w:type="continuationSeparator" w:id="0">
    <w:p w14:paraId="445A7BAB" w14:textId="77777777" w:rsidR="009402C3" w:rsidRDefault="0094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C3C80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AD86D" w14:textId="77777777" w:rsidR="009402C3" w:rsidRDefault="009402C3">
      <w:pPr>
        <w:spacing w:after="0" w:line="240" w:lineRule="auto"/>
      </w:pPr>
      <w:r>
        <w:separator/>
      </w:r>
    </w:p>
  </w:footnote>
  <w:footnote w:type="continuationSeparator" w:id="0">
    <w:p w14:paraId="48815619" w14:textId="77777777" w:rsidR="009402C3" w:rsidRDefault="0094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7E3A"/>
    <w:rsid w:val="000E3115"/>
    <w:rsid w:val="001E69EB"/>
    <w:rsid w:val="00214151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A1888"/>
    <w:rsid w:val="00C86D85"/>
    <w:rsid w:val="00CB032E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0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2</cp:revision>
  <dcterms:created xsi:type="dcterms:W3CDTF">2020-12-11T11:25:00Z</dcterms:created>
  <dcterms:modified xsi:type="dcterms:W3CDTF">2020-12-11T11:25:00Z</dcterms:modified>
</cp:coreProperties>
</file>