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EB3E5B">
              <w:t>Н.А. Ломтева</w:t>
            </w:r>
            <w:r w:rsidR="005C5604">
              <w:t xml:space="preserve"> 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5C5604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06.06.01 Биологические науки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EB3E5B" w:rsidP="001F4F8A">
            <w:pPr>
              <w:rPr>
                <w:b/>
              </w:rPr>
            </w:pPr>
            <w:r>
              <w:t>Генетика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B3E5B">
              <w:rPr>
                <w:b/>
                <w:bCs/>
              </w:rPr>
              <w:t>20</w:t>
            </w:r>
            <w:bookmarkStart w:id="0" w:name="_GoBack"/>
            <w:bookmarkEnd w:id="0"/>
          </w:p>
        </w:tc>
      </w:tr>
    </w:tbl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5C5604" w:rsidRDefault="005C5604" w:rsidP="007541D7">
      <w:pPr>
        <w:jc w:val="both"/>
      </w:pPr>
    </w:p>
    <w:p w:rsidR="005C5604" w:rsidRDefault="005C5604" w:rsidP="007541D7">
      <w:pPr>
        <w:jc w:val="both"/>
      </w:pPr>
    </w:p>
    <w:p w:rsidR="005C5604" w:rsidRPr="000C5BB8" w:rsidRDefault="005C5604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EB3E5B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EB3E5B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EB3E5B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EB3E5B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844F6"/>
    <w:rsid w:val="001A6F54"/>
    <w:rsid w:val="001F4F8A"/>
    <w:rsid w:val="0030593E"/>
    <w:rsid w:val="00335A1C"/>
    <w:rsid w:val="0034374A"/>
    <w:rsid w:val="003F21C1"/>
    <w:rsid w:val="0045085D"/>
    <w:rsid w:val="00587E83"/>
    <w:rsid w:val="005C5604"/>
    <w:rsid w:val="00734623"/>
    <w:rsid w:val="007541D7"/>
    <w:rsid w:val="0076419B"/>
    <w:rsid w:val="007807CB"/>
    <w:rsid w:val="007D028F"/>
    <w:rsid w:val="007F014E"/>
    <w:rsid w:val="00913915"/>
    <w:rsid w:val="009A1C3D"/>
    <w:rsid w:val="00B345BF"/>
    <w:rsid w:val="00BB705E"/>
    <w:rsid w:val="00C620D0"/>
    <w:rsid w:val="00DE7575"/>
    <w:rsid w:val="00E74EF0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EF85-3B3C-4861-AB59-9FB54B3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14</cp:revision>
  <dcterms:created xsi:type="dcterms:W3CDTF">2020-12-03T18:42:00Z</dcterms:created>
  <dcterms:modified xsi:type="dcterms:W3CDTF">2020-12-10T08:02:00Z</dcterms:modified>
</cp:coreProperties>
</file>