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63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519"/>
      </w:tblGrid>
      <w:tr w:rsidR="0021672E" w:rsidRPr="00A4494C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065700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Б.М. Насибулина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B82276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</w:t>
            </w:r>
            <w:r w:rsidR="00B82276">
              <w:rPr>
                <w:rFonts w:ascii="Times New Roman" w:hAnsi="Times New Roman"/>
                <w:sz w:val="24"/>
                <w:szCs w:val="24"/>
                <w:u w:color="000000"/>
              </w:rPr>
              <w:t>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51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A4494C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A4494C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065700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5700" w:rsidRPr="00065700" w:rsidRDefault="00065700" w:rsidP="000657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 w:rsidRPr="00065700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20.06.01 Техносферная безопасность. </w:t>
            </w:r>
          </w:p>
          <w:p w:rsidR="0021672E" w:rsidRPr="00065700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</w:p>
        </w:tc>
      </w:tr>
      <w:tr w:rsidR="0021672E" w:rsidRPr="00A4494C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065700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 w:rsidRPr="00065700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Безопасность в чрезвычайных ситуациях (биологические науки)</w:t>
            </w:r>
            <w:r w:rsidRPr="00065700">
              <w:rPr>
                <w:rFonts w:ascii="Times New Roman" w:hAnsi="Times New Roman"/>
                <w:b/>
                <w:bCs/>
                <w:sz w:val="24"/>
                <w:szCs w:val="24"/>
                <w:u w:color="000000"/>
                <w:lang w:val="en-US"/>
              </w:rPr>
              <w:t> 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776BD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за</w:t>
            </w:r>
            <w:r w:rsidR="009B4AEE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1F1D76" w:rsidRDefault="001F1D76">
      <w:pPr>
        <w:tabs>
          <w:tab w:val="right" w:leader="underscore" w:pos="9612"/>
        </w:tabs>
        <w:jc w:val="right"/>
        <w:rPr>
          <w:rFonts w:cs="Arial Unicode MS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A4494C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A4494C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4. СТРУКТУРА И СОДЕРЖАНИЕ ДИСЦИПЛИНЫ (МОДУЛЯ)</w:t>
      </w: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eastAsia="Times New Roman"/>
          <w:b/>
          <w:bCs/>
          <w:color w:val="000000"/>
          <w:u w:color="000000"/>
          <w:lang w:val="ru-RU" w:eastAsia="ru-RU"/>
        </w:rPr>
        <w:tab/>
      </w:r>
      <w:r w:rsidRPr="001F1D76">
        <w:rPr>
          <w:rFonts w:cs="Arial Unicode MS"/>
          <w:color w:val="000000"/>
          <w:u w:color="000000"/>
          <w:lang w:val="ru-RU" w:eastAsia="ru-RU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 xml:space="preserve">Таблица 2. </w:t>
      </w:r>
    </w:p>
    <w:p w:rsidR="001F1D76" w:rsidRPr="001F1D76" w:rsidRDefault="001F1D76" w:rsidP="001F1D76">
      <w:pPr>
        <w:jc w:val="right"/>
        <w:rPr>
          <w:rFonts w:eastAsia="Times New Roman"/>
          <w:color w:val="000000"/>
          <w:lang w:val="ru-RU" w:eastAsia="ru-RU"/>
        </w:rPr>
      </w:pPr>
      <w:r w:rsidRPr="001F1D76">
        <w:rPr>
          <w:rFonts w:cs="Arial Unicode MS"/>
          <w:color w:val="000000"/>
          <w:lang w:val="ru-RU" w:eastAsia="ru-RU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1F1D76" w:rsidRPr="00A4494C" w:rsidTr="001F1D76">
        <w:trPr>
          <w:trHeight w:val="686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№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A4494C" w:rsidP="00A4494C">
            <w:p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cs="Arial Unicode MS"/>
                <w:color w:val="000000"/>
                <w:lang w:val="ru-RU" w:eastAsia="ru-RU"/>
              </w:rPr>
              <w:t>Н</w:t>
            </w:r>
            <w:r w:rsidR="001F1D76" w:rsidRPr="001F1D76">
              <w:rPr>
                <w:rFonts w:cs="Arial Unicode MS"/>
                <w:color w:val="000000"/>
                <w:lang w:val="ru-RU" w:eastAsia="ru-RU"/>
              </w:rPr>
              <w:t>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Контактная работа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  <w:lang w:val="ru-RU" w:eastAsia="ru-RU"/>
              </w:rPr>
            </w:pPr>
            <w:proofErr w:type="spell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Самостоят</w:t>
            </w:r>
            <w:proofErr w:type="spellEnd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. 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текущего контроля успеваемости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темам)</w:t>
            </w: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</w:p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Форма промежуточной аттестации </w:t>
            </w: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(по семестрам)</w:t>
            </w:r>
          </w:p>
        </w:tc>
      </w:tr>
      <w:tr w:rsidR="001F1D76" w:rsidRPr="001F1D76" w:rsidTr="001F1D76">
        <w:trPr>
          <w:trHeight w:val="1820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val="ru-RU"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  <w:tr w:rsidR="001F1D76" w:rsidRPr="001F1D76" w:rsidTr="001F1D76">
        <w:trPr>
          <w:trHeight w:val="477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Экономическая глобализация и проблемы национальной и 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rPr>
                <w:rFonts w:ascii="Helvetica Neue" w:hAnsi="Helvetica Neue" w:cs="Arial Unicode MS" w:hint="eastAsia"/>
                <w:color w:val="000000"/>
                <w:sz w:val="20"/>
                <w:szCs w:val="2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Дискуссия</w:t>
            </w:r>
          </w:p>
          <w:p w:rsidR="001F1D76" w:rsidRPr="001F1D76" w:rsidRDefault="001F1D76" w:rsidP="001F1D76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1F1D76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jc w:val="right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32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left" w:pos="708"/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b/>
                <w:bCs/>
                <w:color w:val="000000"/>
                <w:u w:color="000000"/>
                <w:lang w:val="ru-RU" w:eastAsia="ru-RU"/>
              </w:rPr>
              <w:t>ЗАЧЕТ</w:t>
            </w:r>
          </w:p>
        </w:tc>
      </w:tr>
    </w:tbl>
    <w:p w:rsidR="001F1D76" w:rsidRPr="001F1D76" w:rsidRDefault="001F1D76" w:rsidP="001F1D76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FF0000"/>
          <w:u w:color="FF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3.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 xml:space="preserve">Матрица соотнесения разделов, тем учебной дисциплины (модуля)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spacing w:val="-2"/>
          <w:u w:color="000000"/>
          <w:lang w:val="ru-RU" w:eastAsia="ru-RU"/>
        </w:rPr>
        <w:t>и формируемых в них компетенций</w:t>
      </w:r>
    </w:p>
    <w:p w:rsidR="001F1D76" w:rsidRPr="001F1D76" w:rsidRDefault="001F1D76" w:rsidP="001F1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1F1D76" w:rsidRPr="001F1D76" w:rsidTr="00A21790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proofErr w:type="gramStart"/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Темы,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разделы</w:t>
            </w:r>
            <w:proofErr w:type="gramEnd"/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Кол</w:t>
            </w:r>
            <w:r w:rsidRPr="001F1D76">
              <w:rPr>
                <w:rFonts w:cs="Arial Unicode MS"/>
                <w:color w:val="000000"/>
                <w:u w:color="000000"/>
                <w:lang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во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Компетенции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УК</w:t>
            </w:r>
            <w:r>
              <w:rPr>
                <w:rFonts w:cs="Arial Unicode MS"/>
                <w:color w:val="000000"/>
                <w:u w:color="000000"/>
                <w:lang w:val="ru-RU" w:eastAsia="ru-RU"/>
              </w:rPr>
              <w:t>-</w:t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общее количество компетенций</w:t>
            </w:r>
          </w:p>
        </w:tc>
      </w:tr>
      <w:tr w:rsidR="001F1D76" w:rsidRPr="001F1D76" w:rsidTr="00A21790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2.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Тема 3.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lastRenderedPageBreak/>
              <w:t>Тема 4.</w:t>
            </w:r>
          </w:p>
          <w:p w:rsidR="001F1D76" w:rsidRPr="001F1D76" w:rsidRDefault="001F1D76" w:rsidP="001F1D76">
            <w:pPr>
              <w:tabs>
                <w:tab w:val="right" w:leader="underscore" w:pos="9612"/>
              </w:tabs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1</w:t>
            </w:r>
          </w:p>
        </w:tc>
      </w:tr>
      <w:tr w:rsidR="001F1D76" w:rsidRPr="001F1D76" w:rsidTr="00A21790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tabs>
                <w:tab w:val="right" w:leader="underscore" w:pos="9612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rPr>
                <w:rFonts w:cs="Arial Unicode MS"/>
                <w:color w:val="000000"/>
                <w:u w:color="000000"/>
                <w:lang w:eastAsia="ru-RU"/>
              </w:rPr>
            </w:pPr>
          </w:p>
        </w:tc>
      </w:tr>
    </w:tbl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eastAsia="Times New Roman"/>
          <w:i/>
          <w:iCs/>
          <w:color w:val="000000"/>
          <w:spacing w:val="2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numPr>
          <w:ilvl w:val="0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Экономическая глобализация и проблемы национальной и международной безопасности.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1F1D76" w:rsidRPr="001F1D76" w:rsidRDefault="001F1D76" w:rsidP="001F1D76">
      <w:pPr>
        <w:numPr>
          <w:ilvl w:val="1"/>
          <w:numId w:val="18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 xml:space="preserve">Возможности использования инструментов государственного регулирования экономики.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Проблемы повышения производительности труда и экономического роста.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 w:rsidRPr="001F1D76">
        <w:rPr>
          <w:rFonts w:cs="Arial Unicode MS"/>
          <w:color w:val="000000"/>
          <w:u w:color="000000"/>
          <w:lang w:val="ru-RU" w:eastAsia="ru-RU"/>
        </w:rPr>
        <w:t>антициклическая</w:t>
      </w:r>
      <w:proofErr w:type="spellEnd"/>
      <w:r w:rsidRPr="001F1D76">
        <w:rPr>
          <w:rFonts w:cs="Arial Unicode MS"/>
          <w:color w:val="000000"/>
          <w:u w:color="000000"/>
          <w:lang w:val="ru-RU" w:eastAsia="ru-RU"/>
        </w:rPr>
        <w:t xml:space="preserve"> политика. </w:t>
      </w:r>
    </w:p>
    <w:p w:rsidR="001F1D76" w:rsidRPr="001F1D76" w:rsidRDefault="001F1D76" w:rsidP="001F1D76">
      <w:pPr>
        <w:numPr>
          <w:ilvl w:val="1"/>
          <w:numId w:val="17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i/>
          <w:iCs/>
          <w:color w:val="000000"/>
          <w:u w:color="000000"/>
          <w:lang w:val="ru-RU" w:eastAsia="ru-RU"/>
        </w:rPr>
        <w:t>Дифференциация доходов, особенности миграционных процессов в условиях глобализации экономики.</w:t>
      </w:r>
    </w:p>
    <w:p w:rsidR="001F1D76" w:rsidRPr="001F1D76" w:rsidRDefault="001F1D76" w:rsidP="001F1D76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eastAsia="Times New Roman"/>
          <w:i/>
          <w:iCs/>
          <w:color w:val="000000"/>
          <w:u w:color="000000"/>
          <w:lang w:val="ru-RU" w:eastAsia="ru-RU"/>
        </w:rPr>
      </w:pPr>
    </w:p>
    <w:p w:rsidR="001F1D76" w:rsidRPr="001F1D76" w:rsidRDefault="001F1D76" w:rsidP="001F1D76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5. ПЕРЕЧЕНЬ УЧЕБНО-МЕТОДИЧЕСКОГО ОБЕСПЕЧЕНИЯ </w:t>
      </w:r>
      <w:r w:rsidRPr="001F1D76">
        <w:rPr>
          <w:rFonts w:ascii="Arial Unicode MS" w:hAnsi="Arial Unicode MS" w:cs="Arial Unicode MS"/>
          <w:color w:val="000000"/>
          <w:u w:color="000000"/>
          <w:lang w:val="ru-RU" w:eastAsia="ru-RU"/>
        </w:rPr>
        <w:br/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ДЛЯ САМОСТОЯТЕЛЬНОЙ РАБОТЫ ОБУЧАЮЩИХСЯ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5.1.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1F1D76" w:rsidRPr="001F1D76" w:rsidRDefault="001F1D76" w:rsidP="001F1D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 w:eastAsia="ru-RU"/>
        </w:rPr>
      </w:pPr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В соответствии с требованиями ФГОС ВО по направлениям подготовки реализация </w:t>
      </w:r>
      <w:proofErr w:type="spell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компетентностного</w:t>
      </w:r>
      <w:proofErr w:type="spell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подхода предусматривается использование в учебном </w:t>
      </w:r>
      <w:proofErr w:type="gramStart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>процессе  в</w:t>
      </w:r>
      <w:proofErr w:type="gramEnd"/>
      <w:r w:rsidRPr="001F1D76">
        <w:rPr>
          <w:rFonts w:cs="Arial Unicode MS"/>
          <w:color w:val="000000"/>
          <w:spacing w:val="-4"/>
          <w:u w:color="000000"/>
          <w:lang w:val="ru-RU" w:eastAsia="ru-RU"/>
        </w:rPr>
        <w:t xml:space="preserve"> рамках данной дисциплины лекционных занятий с использованием презентации. </w:t>
      </w:r>
    </w:p>
    <w:p w:rsidR="001F1D76" w:rsidRPr="001F1D76" w:rsidRDefault="001F1D76" w:rsidP="001F1D76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color w:val="000000"/>
          <w:u w:color="000000"/>
          <w:lang w:val="ru-RU" w:eastAsia="ru-RU"/>
        </w:rPr>
        <w:t xml:space="preserve">5.2. </w:t>
      </w: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>Указания для обучающихся по освоению дисциплины (модулю)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Таблица 4. </w:t>
      </w:r>
    </w:p>
    <w:p w:rsidR="001F1D76" w:rsidRPr="001F1D76" w:rsidRDefault="001F1D76" w:rsidP="001F1D76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 w:eastAsia="ru-RU"/>
        </w:rPr>
      </w:pPr>
      <w:r w:rsidRPr="001F1D76">
        <w:rPr>
          <w:rFonts w:cs="Arial Unicode MS"/>
          <w:b/>
          <w:bCs/>
          <w:color w:val="000000"/>
          <w:u w:color="000000"/>
          <w:lang w:val="ru-RU" w:eastAsia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1F1D76" w:rsidRPr="001F1D76" w:rsidTr="00A21790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lastRenderedPageBreak/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Кол-во </w:t>
            </w:r>
            <w:r w:rsidRPr="001F1D76">
              <w:rPr>
                <w:rFonts w:ascii="Arial Unicode MS" w:hAnsi="Arial Unicode MS" w:cs="Arial Unicode MS"/>
                <w:color w:val="000000"/>
                <w:u w:color="000000"/>
                <w:lang w:val="ru-RU" w:eastAsia="ru-RU"/>
              </w:rPr>
              <w:br/>
            </w: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center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u w:color="000000"/>
                <w:lang w:val="ru-RU" w:eastAsia="ru-RU"/>
              </w:rPr>
              <w:t xml:space="preserve">Формы работы </w:t>
            </w:r>
          </w:p>
        </w:tc>
      </w:tr>
      <w:tr w:rsidR="001F1D76" w:rsidRPr="001F1D76" w:rsidTr="00A21790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Сущность и основные показатели экономической безопасности. </w:t>
            </w:r>
          </w:p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антициклическая</w:t>
            </w:r>
            <w:proofErr w:type="spellEnd"/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  <w:tr w:rsidR="001F1D76" w:rsidRPr="001F1D76" w:rsidTr="00A21790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right" w:pos="9612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1F1D76" w:rsidRPr="001F1D76" w:rsidRDefault="001F1D76" w:rsidP="001F1D76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color w:val="000000"/>
                <w:sz w:val="22"/>
                <w:szCs w:val="22"/>
                <w:u w:color="000000"/>
                <w:lang w:val="ru-RU" w:eastAsia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6" w:rsidRPr="001F1D76" w:rsidRDefault="001F1D76" w:rsidP="001F1D76">
            <w:pPr>
              <w:widowControl w:val="0"/>
              <w:tabs>
                <w:tab w:val="left" w:pos="708"/>
              </w:tabs>
              <w:jc w:val="both"/>
              <w:rPr>
                <w:rFonts w:ascii="Helvetica Neue" w:hAnsi="Helvetica Neue" w:cs="Arial Unicode MS" w:hint="eastAsia"/>
                <w:color w:val="000000"/>
                <w:sz w:val="22"/>
                <w:szCs w:val="22"/>
                <w:u w:color="000000"/>
                <w:lang w:val="ru-RU" w:eastAsia="ru-RU"/>
              </w:rPr>
            </w:pPr>
            <w:r w:rsidRPr="001F1D76">
              <w:rPr>
                <w:rFonts w:cs="Arial Unicode MS"/>
                <w:i/>
                <w:iCs/>
                <w:color w:val="000000"/>
                <w:u w:color="000000"/>
                <w:lang w:val="ru-RU" w:eastAsia="ru-RU"/>
              </w:rPr>
              <w:t>Эссе</w:t>
            </w:r>
          </w:p>
        </w:tc>
      </w:tr>
    </w:tbl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A4494C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lastRenderedPageBreak/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4F" w:rsidRDefault="00BB714F">
      <w:r>
        <w:separator/>
      </w:r>
    </w:p>
  </w:endnote>
  <w:endnote w:type="continuationSeparator" w:id="0">
    <w:p w:rsidR="00BB714F" w:rsidRDefault="00B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4F" w:rsidRDefault="00BB714F">
      <w:r>
        <w:separator/>
      </w:r>
    </w:p>
  </w:footnote>
  <w:footnote w:type="continuationSeparator" w:id="0">
    <w:p w:rsidR="00BB714F" w:rsidRDefault="00BB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387CC1"/>
    <w:multiLevelType w:val="hybridMultilevel"/>
    <w:tmpl w:val="A5DC867E"/>
    <w:styleLink w:val="1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97343DF"/>
    <w:multiLevelType w:val="hybridMultilevel"/>
    <w:tmpl w:val="2048EC96"/>
    <w:numStyleLink w:val="a"/>
  </w:abstractNum>
  <w:abstractNum w:abstractNumId="3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7271760"/>
    <w:multiLevelType w:val="hybridMultilevel"/>
    <w:tmpl w:val="13CE2386"/>
    <w:numStyleLink w:val="a0"/>
  </w:abstractNum>
  <w:abstractNum w:abstractNumId="6">
    <w:nsid w:val="7D322C36"/>
    <w:multiLevelType w:val="hybridMultilevel"/>
    <w:tmpl w:val="A5DC867E"/>
    <w:numStyleLink w:val="1"/>
  </w:abstractNum>
  <w:num w:numId="1">
    <w:abstractNumId w:val="3"/>
  </w:num>
  <w:num w:numId="2">
    <w:abstractNumId w:val="2"/>
  </w:num>
  <w:num w:numId="3">
    <w:abstractNumId w:val="2"/>
    <w:lvlOverride w:ilvl="1">
      <w:startOverride w:val="2"/>
    </w:lvlOverride>
  </w:num>
  <w:num w:numId="4">
    <w:abstractNumId w:val="2"/>
    <w:lvlOverride w:ilvl="0">
      <w:startOverride w:val="1"/>
      <w:lvl w:ilvl="0" w:tplc="3F7E2088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069F48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C8110E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923CC0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0545746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5C84FE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450B3C8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FA8518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923318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5"/>
    <w:lvlOverride w:ilvl="0">
      <w:lvl w:ilvl="0" w:tplc="42B8EDA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CEA60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52DA0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92056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340F2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FCD46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44238D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FE13A6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26FAB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5"/>
      <w:lvl w:ilvl="0" w:tplc="3F7E2088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2069F4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8C8110E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7923CC0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054574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5C84FE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450B3C8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2FA851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E923318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</w:num>
  <w:num w:numId="17">
    <w:abstractNumId w:val="6"/>
  </w:num>
  <w:num w:numId="18">
    <w:abstractNumId w:val="6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065700"/>
    <w:rsid w:val="000A673B"/>
    <w:rsid w:val="000B5D12"/>
    <w:rsid w:val="001F1D76"/>
    <w:rsid w:val="0021672E"/>
    <w:rsid w:val="002776BD"/>
    <w:rsid w:val="0036253A"/>
    <w:rsid w:val="004C7BF4"/>
    <w:rsid w:val="00961DAA"/>
    <w:rsid w:val="009B4AEE"/>
    <w:rsid w:val="00A4494C"/>
    <w:rsid w:val="00AA0D0A"/>
    <w:rsid w:val="00B82276"/>
    <w:rsid w:val="00BB714F"/>
    <w:rsid w:val="00CA2A10"/>
    <w:rsid w:val="00E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  <w:style w:type="numbering" w:customStyle="1" w:styleId="1">
    <w:name w:val="С числами1"/>
    <w:rsid w:val="001F1D7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3</cp:revision>
  <dcterms:created xsi:type="dcterms:W3CDTF">2021-03-18T11:56:00Z</dcterms:created>
  <dcterms:modified xsi:type="dcterms:W3CDTF">2021-04-22T05:55:00Z</dcterms:modified>
</cp:coreProperties>
</file>