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01-10-01/2135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24.09.2026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Астраханский государственный университет имени В.Н. Татищева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Факультет филологии и журналистики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005840" cy="891540"/>
            <wp:effectExtent l="0" t="0" r="3810" b="3810"/>
            <wp:docPr id="1" name="Рисунок 1" descr="C:\Documents and Settings\Пользователь\Рабочий стол\Конференции\логотип новый АГ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Documents and Settings\Пользователь\Рабочий стол\Конференции\логотип новый АГУ.png"/>
                    <pic:cNvPicPr>
                      <a:picLocks noChangeAspect="1" noChangeArrowheads="1"/>
                    </pic:cNvPicPr>
                  </pic:nvPicPr>
                  <pic:blipFill>
                    <a:blip do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47312" w:rsidRPr="00847312" w:rsidRDefault="00847312" w:rsidP="00847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Информационное письмо</w:t>
      </w:r>
    </w:p>
    <w:p w:rsidR="00847312" w:rsidRPr="00847312" w:rsidRDefault="00847312" w:rsidP="008473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Приглашаем </w:t>
      </w:r>
      <w:r w:rsidRPr="0084731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преподавателей вузов и ссузов, учителей, научных сотрудников и аспирантов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участие в </w:t>
      </w:r>
      <w:r w:rsidRPr="008473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Международной научно-практической конференции </w:t>
      </w:r>
      <w:r w:rsidRPr="00847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«Векторы развития русистики и лингводидактики в контексте современного филологического образования»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 состоится </w:t>
      </w:r>
      <w:r w:rsidRPr="00847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11-12</w:t>
      </w:r>
      <w:r w:rsidRPr="008473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2026 г.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адресу: г. Астрахань, ул. Татищева, 20а, главный корпус АГУ имени В.Н. Татищева.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Направления конференции</w:t>
      </w:r>
    </w:p>
    <w:p w:rsidR="00847312" w:rsidRPr="00847312" w:rsidRDefault="00847312" w:rsidP="00847312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грамматические исследования в области русского языка.</w:t>
      </w:r>
    </w:p>
    <w:p w:rsidR="00847312" w:rsidRPr="00847312" w:rsidRDefault="00847312" w:rsidP="00847312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в парадигмах современной лингвистики.</w:t>
      </w:r>
    </w:p>
    <w:p w:rsidR="00847312" w:rsidRPr="00847312" w:rsidRDefault="00847312" w:rsidP="00847312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Коммуникативный аспект функционирования языковых единиц.</w:t>
      </w:r>
    </w:p>
    <w:p w:rsidR="00847312" w:rsidRPr="00847312" w:rsidRDefault="00847312" w:rsidP="00847312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Современные педагогические технологии в преподавании русского языка как родного.</w:t>
      </w:r>
    </w:p>
    <w:p w:rsidR="00847312" w:rsidRPr="00847312" w:rsidRDefault="00847312" w:rsidP="00847312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Современные педагогические технологии в преподавании русского языка как неродного и иностранного.</w:t>
      </w:r>
    </w:p>
    <w:p w:rsidR="00847312" w:rsidRPr="00847312" w:rsidRDefault="00847312" w:rsidP="00847312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Современное языковое пространство Прикаспийского региона.</w:t>
      </w:r>
    </w:p>
    <w:p w:rsidR="00847312" w:rsidRPr="00847312" w:rsidRDefault="00847312" w:rsidP="00847312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масс-медиа.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Формы участия в конференции: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очное выступление с докладом + публикация;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заочное или дистанционное участие (с публикацией статьи).</w:t>
      </w: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 участников конференции будет также возможность пройти </w:t>
      </w:r>
      <w:r w:rsidRPr="0084731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курсы повышения квалификации по программе «Лингвистика и лингводидактика в парадигмах современного научного знания» (в объеме 72 ч.).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Предполагается культурная программа – обзорная экскурсия по городу, экскурсия в Астраханский кремль, посещение Астраханского театра оперы и балета, дома-музея В. Хлебникова и др.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Для участия 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конференции необходимо отправить отдельными файлами в оргкомитет по адресу </w:t>
      </w:r>
      <w:hyperlink dor:id="rId9" w:history="1">
        <w:r w:rsidRPr="0084731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kafrusagu</w:t>
        </w:r>
        <w:r w:rsidRPr="0084731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@</w:t>
        </w:r>
        <w:r w:rsidRPr="0084731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asu</w:t>
        </w:r>
        <w:r w:rsidRPr="0084731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-</w:t>
        </w:r>
        <w:r w:rsidRPr="0084731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edu</w:t>
        </w:r>
        <w:r w:rsidRPr="0084731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ru-RU"/>
          </w:rPr>
          <w:t>.</w:t>
        </w:r>
        <w:r w:rsidRPr="00847312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заявку и статью </w:t>
      </w:r>
      <w:r w:rsidRPr="00847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19 октября 2026 года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(Иванова_заявка; Иванова_статья). 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заявки</w:t>
      </w:r>
    </w:p>
    <w:p w:rsidR="00847312" w:rsidRPr="00847312" w:rsidRDefault="00847312" w:rsidP="00847312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участника (полностью).</w:t>
      </w:r>
    </w:p>
    <w:p w:rsidR="00847312" w:rsidRPr="00847312" w:rsidRDefault="00847312" w:rsidP="00847312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Ученая степень, ученое звание, должность.</w:t>
      </w:r>
    </w:p>
    <w:p w:rsidR="00847312" w:rsidRPr="00847312" w:rsidRDefault="00847312" w:rsidP="00847312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работы/учебы (полное название учреждения).</w:t>
      </w:r>
    </w:p>
    <w:p w:rsidR="00847312" w:rsidRPr="00847312" w:rsidRDefault="00847312" w:rsidP="00847312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доклада.</w:t>
      </w:r>
    </w:p>
    <w:p w:rsidR="00847312" w:rsidRPr="00847312" w:rsidRDefault="00847312" w:rsidP="00847312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секции.</w:t>
      </w:r>
    </w:p>
    <w:p w:rsidR="00847312" w:rsidRPr="00847312" w:rsidRDefault="00847312" w:rsidP="00847312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Форма участия (очная, заочная, дистанционная).</w:t>
      </w:r>
    </w:p>
    <w:p w:rsidR="00847312" w:rsidRPr="00847312" w:rsidRDefault="00847312" w:rsidP="00847312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 повышения квалификации – да / нет</w:t>
      </w:r>
    </w:p>
    <w:p w:rsidR="00847312" w:rsidRPr="00847312" w:rsidRDefault="00847312" w:rsidP="00847312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телефон.</w:t>
      </w:r>
    </w:p>
    <w:p w:rsidR="00847312" w:rsidRPr="00847312" w:rsidRDefault="00847312" w:rsidP="00847312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E-mail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конференции после размещения в РИНЦ будут доступны на сайте университета. Авторам будет выслан электронный вариант сборника, а также сертификат участника.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Организационный взнос составляет </w:t>
      </w:r>
      <w:r w:rsidRPr="008473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1000 руб</w:t>
      </w:r>
      <w:r w:rsidRPr="008473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Курсы повышения квалификации – </w:t>
      </w:r>
      <w:r w:rsidRPr="008473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2000 руб.</w:t>
      </w:r>
      <w:r w:rsidRPr="008473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Денежные средства перечисляются путем банковского перевода </w:t>
      </w:r>
      <w:r w:rsidRPr="0084731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 обязательным указанием названия конференции и/или курсов</w:t>
      </w: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Реквизиты для оплаты оргвзноса: 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получателя: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УФК по Нижегородской области (ФГБОУ ВО «Астраханский государственный университет им. В.Н. Татищева» л/сч 20256Ц14780)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ИНН 3016009269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КПП 301601001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Банк: ОКЦ №1 ВВГУ Банка России//УФК по Нижегородской области г. Нижний Новгород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БИК 012202102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Единый казначейский счет 40102810745370000024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Казначейский счет 03214643000000013235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ОКТМО 12701000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ОГРН 1023000818554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Назначение платежа: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оргвзнос за конференцию «Векторы развития русистики…»; курсы ПК «Лингвистика и лингводидактика…» (отдельными платежами!)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ТРЕБОВАНИЯ К ОФОРМЛЕНИЮ СТАТЬИ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 в объёме </w:t>
      </w:r>
      <w:r w:rsidRPr="00847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4 до 7 страниц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направляется в оргкомитет в электронном виде в формате MS WORD 97, 98, 2000 и выше: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поля: 2 см со всех сторон;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– 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8473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Times New Roman, 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 w:rsidRPr="008473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14;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междустрочный интервал: 1,0 (одинарный);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выравнивание текста: по ширине;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абзацный отступ: 1,25 см;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расстановка переносов – автоматическая.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Оформление заголовка: 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Фамилия автора (авторов) полужирным шрифтом; ниже – название организации (полностью), город полужирным курсивом; через пропуск строки – название статьи заглавными буквами полужирным шрифтом. В конце заголовков точки не допускаются. После заголовка – пропуск строки.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Аннотация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не менее 200 знаков, и ниже </w:t>
      </w:r>
      <w:r w:rsidRPr="008473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слова 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запятую</w:t>
      </w:r>
      <w:r w:rsidRPr="008473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 менее пяти слов.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же информация далее </w:t>
      </w:r>
      <w:r w:rsidRPr="00847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дублируется на английском языке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пропуск строки размещается текст статьи.</w:t>
      </w: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Ссылки на источники указываются в тексте статьи следующим образом: [Алефиренко, 2017, с. 95]. </w:t>
      </w: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цитируемой литературы формируется в алфавитном порядке, по авторам или названию. 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Требования к оформлению списка литературы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Книга: 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Бирих А. К., Мокиенко В.И., Степанова Л. И. Русская фразеология. Историко-этимологический словарь / под ред. В. М. Мокиенко. М.: Астрель: АСТ: Люкс, 2007. 926 с. 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Мокиенко В. М. Давайте говорить правильно! Трудности современной русской фразеологии. Краткий словарь-справочник. СПб: Филологический факультет СПбГУ, 2003. 286 с. 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Статья в журнале: 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Добровольский Д. О. Национально-культурная специфика во фразеологии (I) // Вопросы языкознания. 1997. № 6. С. 37–48.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Статья в сборнике: 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Джанаева В. В. Инокультурные прецедентные высказывания // Языковая система и речевая деятельность: лингвокультурологический и прагматический аспекты. Вып. 1. Мат-лы международ. науч. конф. Ростов н/Д.: НМЦ «Логос», 2007. С. 79–81.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Электронный ресурс: 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t>НКРЯ – Национальный корпус русского языка [Электронный ресурс] // URL: http://www.ruscorpora.ru (дата обращения: 20.07.2026).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color w:val="000000"/>
          <w:sz w:val="24"/>
          <w:szCs w:val="24"/>
        </w:rPr>
        <w:br w:type="page"/>
      </w:r>
      <w:r w:rsidRPr="00847312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ОБРАЗЕЦ ОФОРМЛЕНИЯ СТАТЬИ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47312" w:rsidRPr="00847312" w:rsidRDefault="00847312" w:rsidP="008473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И.И. Иванов</w:t>
      </w:r>
    </w:p>
    <w:p w:rsidR="00847312" w:rsidRPr="00847312" w:rsidRDefault="00847312" w:rsidP="008473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Астраханский государственный университет </w:t>
      </w:r>
    </w:p>
    <w:p w:rsidR="00847312" w:rsidRPr="00847312" w:rsidRDefault="00847312" w:rsidP="008473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имени В.Н. Татищева </w:t>
      </w:r>
    </w:p>
    <w:p w:rsidR="00847312" w:rsidRPr="00847312" w:rsidRDefault="00847312" w:rsidP="008473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г. Астрахань, Россия</w:t>
      </w:r>
    </w:p>
    <w:p w:rsidR="00847312" w:rsidRPr="00847312" w:rsidRDefault="00847312" w:rsidP="008473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7312" w:rsidRPr="00847312" w:rsidRDefault="00847312" w:rsidP="00847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КУЛЬТУРА РЕЧИ СОВРЕМЕННОГО МОЛОДОГО ПОКОЛЕНИЯ</w:t>
      </w: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Аннотация.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shd w:val="clear" w:color="auto" w:fill="FFFFFF"/>
          <w:lang w:eastAsia="ru-RU"/>
        </w:rPr>
        <w:t>Текст Текст Текст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слова: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слово, слово, слово.</w:t>
      </w: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312" w:rsidRPr="00847312" w:rsidRDefault="00847312" w:rsidP="008473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84731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I.I. Ivanov</w:t>
      </w:r>
    </w:p>
    <w:p w:rsidR="00847312" w:rsidRPr="00847312" w:rsidRDefault="00847312" w:rsidP="008473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 w:eastAsia="ru-RU"/>
        </w:rPr>
      </w:pPr>
      <w:r w:rsidRPr="00847312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 w:eastAsia="ru-RU"/>
        </w:rPr>
        <w:t>Tatishchev Astrakhan State University</w:t>
      </w:r>
    </w:p>
    <w:p w:rsidR="00847312" w:rsidRPr="00847312" w:rsidRDefault="00847312" w:rsidP="008473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 w:eastAsia="ru-RU"/>
        </w:rPr>
      </w:pPr>
      <w:r w:rsidRPr="00847312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 w:eastAsia="ru-RU"/>
        </w:rPr>
        <w:t>Astrakhan, Russia</w:t>
      </w:r>
    </w:p>
    <w:p w:rsidR="00847312" w:rsidRPr="00847312" w:rsidRDefault="00847312" w:rsidP="0084731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47312" w:rsidRPr="00847312" w:rsidRDefault="00847312" w:rsidP="00847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84731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SPEECH CULTURE OF THE MODERN YOUTH GENERATION</w:t>
      </w: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4731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Abstract.</w:t>
      </w:r>
      <w:r w:rsidRPr="008473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shd w:val="clear" w:color="auto" w:fill="FFFFFF"/>
          <w:lang w:val="en-US" w:eastAsia="ru-RU"/>
        </w:rPr>
        <w:t>Text Text Text</w:t>
      </w: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4731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Keywords:</w:t>
      </w:r>
      <w:r w:rsidRPr="008473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word, word, word.</w:t>
      </w: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Текст Текст Текст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</w:t>
      </w: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Текст Текст Текст Текст Текст Текст Текст Текст Текст Текст Текст Текст Текст Текст</w:t>
      </w:r>
    </w:p>
    <w:p w:rsidR="00847312" w:rsidRPr="00847312" w:rsidRDefault="00847312" w:rsidP="008473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47312" w:rsidRPr="00847312" w:rsidRDefault="00847312" w:rsidP="00847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</w:t>
      </w: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1. Головин Б. Н. Основы культуры речи: учеб. для вузов по спец. «Рус. яз. и лит.». М.: Высш. шк., 1988. 175 с.</w:t>
      </w:r>
    </w:p>
    <w:p w:rsidR="00847312" w:rsidRPr="00847312" w:rsidRDefault="00847312" w:rsidP="00847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Оганесян С. С. Культура речевого общения // Русский язык в школе. 1998. № 5. С. 20–25.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Организаторы конференции оставляют за собой право отклонять доклады, не соответствующие указанным требованиям или тематике конференции. Материалы печатаются в авторской редакции. 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</w:pPr>
      <w:r w:rsidRPr="0084731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Координатор конференции – </w:t>
      </w:r>
      <w:r w:rsidRPr="00847312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Лаптева Мария Леонидовна (89033214027)</w:t>
      </w:r>
    </w:p>
    <w:p w:rsidR="00847312" w:rsidRPr="00847312" w:rsidRDefault="00847312" w:rsidP="00847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</w:pPr>
    </w:p>
    <w:p w:rsidR="00847312" w:rsidRPr="00847312" w:rsidRDefault="00847312" w:rsidP="0084731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312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уважением, оргкомитет</w:t>
      </w:r>
    </w:p>
    <w:bookmarkStart w:id="2" w:name="_GoBack"/>
    <w:bookmarkEnd w:id="2"/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3" w:name="Содержание"/>
      <w:r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Pr="004937AE">
        <w:rPr>
          <w:rFonts w:ascii="Times New Roman" w:hAnsi="Times New Roman" w:cs="Times New Roman"/>
          <w:sz w:val="28"/>
          <w:szCs w:val="28"/>
        </w:rPr>
      </w:r>
      <w:r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Pr="004937AE">
        <w:rPr>
          <w:rFonts w:ascii="Times New Roman" w:hAnsi="Times New Roman" w:cs="Times New Roman"/>
          <w:sz w:val="28"/>
          <w:szCs w:val="28"/>
        </w:rPr>
        <w:t> </w:t>
      </w:r>
      <w:r w:rsidRPr="004937AE">
        <w:rPr>
          <w:rFonts w:ascii="Times New Roman" w:hAnsi="Times New Roman" w:cs="Times New Roman"/>
          <w:sz w:val="28"/>
          <w:szCs w:val="28"/>
        </w:rPr>
        <w:fldChar w:fldCharType="end"/>
      </w:r>
      <w:bookmarkEnd w:id="3"/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B5" w:rsidRDefault="00C829B5" w:rsidP="00BC219B">
      <w:pPr>
        <w:spacing w:after="0" w:line="240" w:lineRule="auto"/>
      </w:pPr>
      <w:r>
        <w:separator/>
      </w:r>
    </w:p>
  </w:endnote>
  <w:endnote w:type="continuationSeparator" w:id="0">
    <w:p w:rsidR="00C829B5" w:rsidRDefault="00C829B5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B5" w:rsidRDefault="00C829B5" w:rsidP="00BC219B">
      <w:pPr>
        <w:spacing w:after="0" w:line="240" w:lineRule="auto"/>
      </w:pPr>
      <w:r>
        <w:separator/>
      </w:r>
    </w:p>
  </w:footnote>
  <w:footnote w:type="continuationSeparator" w:id="0">
    <w:p w:rsidR="00C829B5" w:rsidRDefault="00C829B5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E42C69"/>
    <w:multiLevelType w:val="hybridMultilevel"/>
    <w:tmpl w:val="68FC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2C3C7B"/>
    <w:multiLevelType w:val="hybridMultilevel"/>
    <w:tmpl w:val="705E42B8"/>
    <w:lvl w:ilvl="0" w:tplc="423429CA">
      <w:start w:val="1"/>
      <w:numFmt w:val="decimal"/>
      <w:lvlText w:val="%1."/>
      <w:lvlJc w:val="left"/>
      <w:pPr>
        <w:ind w:left="72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7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6"/>
  </w:num>
  <w:num w:numId="6">
    <w:abstractNumId w:val="10"/>
  </w:num>
  <w:num w:numId="7">
    <w:abstractNumId w:val="1"/>
  </w:num>
  <w:num w:numId="8">
    <w:abstractNumId w:val="5"/>
  </w:num>
  <w:num w:numId="9">
    <w:abstractNumId w:val="14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5"/>
  </w:num>
  <w:num w:numId="16">
    <w:abstractNumId w:val="17"/>
  </w:num>
  <w:num w:numId="17">
    <w:abstractNumId w:val="18"/>
  </w:num>
  <w:num w:numId="18">
    <w:abstractNumId w:val="1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47312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829B5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png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theme" Target="theme/theme1.xml"/>
	<Relationship Id="rId5" Type="http://schemas.openxmlformats.org/officeDocument/2006/relationships/webSettings" Target="webSettings.xml"/>
	<Relationship Id="rId10" Type="http://schemas.openxmlformats.org/officeDocument/2006/relationships/fontTable" Target="fontTable.xml"/>
	<Relationship Id="rId4" Type="http://schemas.openxmlformats.org/officeDocument/2006/relationships/settings" Target="settings.xml"/>
	<Relationship Id="rId9" Type="http://schemas.openxmlformats.org/officeDocument/2006/relationships/hyperlink" Target="mailto:kafrusagu@asu-edu.ru" TargetMode="External"/><Relationship Target="media/Image2.png" Type="http://schemas.openxmlformats.org/officeDocument/2006/relationships/image" Id="rId19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7BBAC-2077-419F-8AFE-05359F61F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Кафедра</cp:lastModifiedBy>
  <cp:revision>12</cp:revision>
  <cp:lastPrinted>2022-07-13T11:26:00Z</cp:lastPrinted>
  <dcterms:created xsi:type="dcterms:W3CDTF">2023-05-03T08:30:00Z</dcterms:created>
  <dcterms:modified xsi:type="dcterms:W3CDTF">2026-09-18T10:15:00Z</dcterms:modified>
</cp:coreProperties>
</file>