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F6" w:rsidRDefault="001F70F6" w:rsidP="001F70F6">
      <w:pPr>
        <w:pStyle w:val="ConsPlusTitle"/>
        <w:jc w:val="center"/>
        <w:outlineLvl w:val="1"/>
      </w:pPr>
      <w:r>
        <w:t>Методика расчета показателей мониторинга</w:t>
      </w:r>
    </w:p>
    <w:p w:rsidR="001F70F6" w:rsidRDefault="001F70F6" w:rsidP="001F70F6">
      <w:pPr>
        <w:pStyle w:val="ConsPlusNormal"/>
        <w:jc w:val="both"/>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1585"/>
        <w:gridCol w:w="7796"/>
      </w:tblGrid>
      <w:tr w:rsidR="00B00F77" w:rsidTr="005D0824">
        <w:tc>
          <w:tcPr>
            <w:tcW w:w="542" w:type="dxa"/>
            <w:tcBorders>
              <w:top w:val="single" w:sz="4" w:space="0" w:color="auto"/>
              <w:bottom w:val="nil"/>
            </w:tcBorders>
          </w:tcPr>
          <w:p w:rsidR="00B00F77" w:rsidRPr="00EF0C77" w:rsidRDefault="00B00F77" w:rsidP="00B00F77">
            <w:pPr>
              <w:pStyle w:val="ConsPlusNormal"/>
              <w:jc w:val="center"/>
              <w:rPr>
                <w:b/>
              </w:rPr>
            </w:pPr>
            <w:r w:rsidRPr="00EF0C77">
              <w:rPr>
                <w:b/>
              </w:rPr>
              <w:t>N п/п</w:t>
            </w:r>
          </w:p>
        </w:tc>
        <w:tc>
          <w:tcPr>
            <w:tcW w:w="1585" w:type="dxa"/>
            <w:tcBorders>
              <w:top w:val="single" w:sz="4" w:space="0" w:color="auto"/>
              <w:bottom w:val="nil"/>
            </w:tcBorders>
          </w:tcPr>
          <w:p w:rsidR="00B00F77" w:rsidRPr="00EF0C77" w:rsidRDefault="00B00F77" w:rsidP="00B00F77">
            <w:pPr>
              <w:pStyle w:val="ConsPlusNormal"/>
              <w:jc w:val="center"/>
              <w:rPr>
                <w:b/>
              </w:rPr>
            </w:pPr>
            <w:r w:rsidRPr="00EF0C77">
              <w:rPr>
                <w:b/>
              </w:rPr>
              <w:t>Наименование показателя мониторинга</w:t>
            </w:r>
          </w:p>
        </w:tc>
        <w:tc>
          <w:tcPr>
            <w:tcW w:w="7796" w:type="dxa"/>
            <w:tcBorders>
              <w:top w:val="single" w:sz="4" w:space="0" w:color="auto"/>
              <w:bottom w:val="nil"/>
            </w:tcBorders>
          </w:tcPr>
          <w:p w:rsidR="00B00F77" w:rsidRPr="00EF0C77" w:rsidRDefault="00B00F77" w:rsidP="00B00F77">
            <w:pPr>
              <w:pStyle w:val="ConsPlusNormal"/>
              <w:jc w:val="center"/>
              <w:rPr>
                <w:b/>
              </w:rPr>
            </w:pPr>
            <w:r w:rsidRPr="00EF0C77">
              <w:rPr>
                <w:b/>
              </w:rPr>
              <w:t>Методика расчета показателя мониторинга</w:t>
            </w:r>
          </w:p>
        </w:tc>
      </w:tr>
      <w:tr w:rsidR="00B00F77" w:rsidTr="005D0824">
        <w:tc>
          <w:tcPr>
            <w:tcW w:w="542" w:type="dxa"/>
            <w:vMerge w:val="restart"/>
            <w:tcBorders>
              <w:top w:val="single" w:sz="4" w:space="0" w:color="auto"/>
              <w:bottom w:val="nil"/>
            </w:tcBorders>
          </w:tcPr>
          <w:p w:rsidR="00B00F77" w:rsidRDefault="00B00F77" w:rsidP="00B00F77">
            <w:pPr>
              <w:pStyle w:val="ConsPlusNormal"/>
              <w:jc w:val="center"/>
            </w:pPr>
            <w:r>
              <w:t>5</w:t>
            </w:r>
          </w:p>
        </w:tc>
        <w:tc>
          <w:tcPr>
            <w:tcW w:w="1585" w:type="dxa"/>
            <w:vMerge w:val="restart"/>
            <w:tcBorders>
              <w:top w:val="single" w:sz="4" w:space="0" w:color="auto"/>
              <w:bottom w:val="nil"/>
            </w:tcBorders>
          </w:tcPr>
          <w:p w:rsidR="00B00F77" w:rsidRDefault="00B00F77" w:rsidP="00B00F77">
            <w:pPr>
              <w:pStyle w:val="ConsPlusNormal"/>
              <w:jc w:val="both"/>
            </w:pPr>
            <w:r w:rsidRPr="009F581F">
              <w:rPr>
                <w:b/>
              </w:rPr>
              <w:t>Доля научно-педагогических работников, имеющих ученую степень и (или) ученое звание</w:t>
            </w:r>
            <w:r>
              <w:t xml:space="preserve"> (в том числе богословские ученые степени и звания), и (или) лиц, приравненных к ним, в общем числе работников, реализующих образовательную программу высшего образования</w:t>
            </w:r>
            <w:r w:rsidRPr="006E4A03">
              <w:t>,</w:t>
            </w:r>
            <w:r>
              <w:t xml:space="preserve"> - </w:t>
            </w:r>
            <w:r w:rsidRPr="006E4A03">
              <w:rPr>
                <w:b/>
              </w:rPr>
              <w:t>АП</w:t>
            </w:r>
            <w:r w:rsidRPr="006E4A03">
              <w:rPr>
                <w:b/>
                <w:vertAlign w:val="subscript"/>
              </w:rPr>
              <w:t>5</w:t>
            </w:r>
          </w:p>
        </w:tc>
        <w:tc>
          <w:tcPr>
            <w:tcW w:w="7796" w:type="dxa"/>
            <w:tcBorders>
              <w:top w:val="single" w:sz="4" w:space="0" w:color="auto"/>
              <w:bottom w:val="nil"/>
            </w:tcBorders>
          </w:tcPr>
          <w:p w:rsidR="00B00F77" w:rsidRDefault="00B00F77" w:rsidP="00B00F77">
            <w:pPr>
              <w:pStyle w:val="ConsPlusNormal"/>
              <w:ind w:firstLine="283"/>
              <w:jc w:val="both"/>
            </w:pPr>
            <w:r>
              <w:t>Показатель АП</w:t>
            </w:r>
            <w:r>
              <w:rPr>
                <w:vertAlign w:val="subscript"/>
              </w:rPr>
              <w:t>5</w:t>
            </w:r>
            <w:r>
              <w:t xml:space="preserve"> рассчитывается как отношение количества ставок, занимаемых научно-педагогическими работниками в количестве ставок, занимаемых научно-педагогическими работниками с ученой степенью и (или) ученым званием (в том числе богословскими учеными степенями и званиями) и лицами, приравненными к ним, участвующими в реализации учебного плана образовательной программы высшего образования, к общему количеству ставок, занимаемых научно-педагогическими работниками, участвующими в реализации образовательной программы высшего образования, умноженное на 100.</w:t>
            </w:r>
          </w:p>
          <w:p w:rsidR="00B00F77" w:rsidRDefault="00B00F77" w:rsidP="00B00F77">
            <w:pPr>
              <w:pStyle w:val="ConsPlusNormal"/>
              <w:ind w:firstLine="283"/>
              <w:jc w:val="both"/>
            </w:pPr>
            <w:r>
              <w:t>К научно-педагогическим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являющиеся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rsidR="00B00F77" w:rsidRDefault="00B00F77" w:rsidP="00B00F77">
            <w:pPr>
              <w:pStyle w:val="ConsPlusNormal"/>
              <w:ind w:firstLine="283"/>
              <w:jc w:val="both"/>
            </w:pPr>
            <w:r>
              <w:t>Показатель рассчитывается по формуле:</w:t>
            </w:r>
          </w:p>
        </w:tc>
      </w:tr>
      <w:tr w:rsidR="00B00F77" w:rsidTr="005D0824">
        <w:tblPrEx>
          <w:tblBorders>
            <w:insideH w:val="none" w:sz="0" w:space="0" w:color="auto"/>
          </w:tblBorders>
        </w:tblPrEx>
        <w:tc>
          <w:tcPr>
            <w:tcW w:w="542" w:type="dxa"/>
            <w:vMerge/>
            <w:tcBorders>
              <w:top w:val="single" w:sz="4" w:space="0" w:color="auto"/>
              <w:bottom w:val="nil"/>
            </w:tcBorders>
          </w:tcPr>
          <w:p w:rsidR="00B00F77" w:rsidRDefault="00B00F77" w:rsidP="00B00F77">
            <w:pPr>
              <w:pStyle w:val="ConsPlusNormal"/>
            </w:pPr>
          </w:p>
        </w:tc>
        <w:tc>
          <w:tcPr>
            <w:tcW w:w="1585" w:type="dxa"/>
            <w:vMerge/>
            <w:tcBorders>
              <w:top w:val="single" w:sz="4" w:space="0" w:color="auto"/>
              <w:bottom w:val="nil"/>
            </w:tcBorders>
          </w:tcPr>
          <w:p w:rsidR="00B00F77" w:rsidRDefault="00B00F77" w:rsidP="00B00F77">
            <w:pPr>
              <w:pStyle w:val="ConsPlusNormal"/>
            </w:pPr>
          </w:p>
        </w:tc>
        <w:tc>
          <w:tcPr>
            <w:tcW w:w="7796" w:type="dxa"/>
            <w:tcBorders>
              <w:top w:val="nil"/>
              <w:bottom w:val="nil"/>
            </w:tcBorders>
          </w:tcPr>
          <w:p w:rsidR="00B00F77" w:rsidRDefault="00B00F77" w:rsidP="00B00F77">
            <w:pPr>
              <w:pStyle w:val="ConsPlusNormal"/>
              <w:jc w:val="center"/>
            </w:pPr>
            <w:r>
              <w:rPr>
                <w:noProof/>
                <w:position w:val="-22"/>
              </w:rPr>
              <w:drawing>
                <wp:inline distT="0" distB="0" distL="0" distR="0" wp14:anchorId="78E4ABA4" wp14:editId="7799A777">
                  <wp:extent cx="1005840" cy="42989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B00F77" w:rsidTr="005D0824">
        <w:tblPrEx>
          <w:tblBorders>
            <w:insideH w:val="none" w:sz="0" w:space="0" w:color="auto"/>
          </w:tblBorders>
        </w:tblPrEx>
        <w:tc>
          <w:tcPr>
            <w:tcW w:w="542" w:type="dxa"/>
            <w:tcBorders>
              <w:top w:val="nil"/>
              <w:bottom w:val="single" w:sz="4" w:space="0" w:color="auto"/>
            </w:tcBorders>
          </w:tcPr>
          <w:p w:rsidR="00B00F77" w:rsidRDefault="00B00F77" w:rsidP="00B00F77">
            <w:pPr>
              <w:pStyle w:val="ConsPlusNormal"/>
            </w:pPr>
          </w:p>
        </w:tc>
        <w:tc>
          <w:tcPr>
            <w:tcW w:w="1585" w:type="dxa"/>
            <w:tcBorders>
              <w:top w:val="nil"/>
              <w:bottom w:val="single" w:sz="4" w:space="0" w:color="auto"/>
            </w:tcBorders>
          </w:tcPr>
          <w:p w:rsidR="00B00F77" w:rsidRDefault="00B00F77" w:rsidP="00B00F77">
            <w:pPr>
              <w:pStyle w:val="ConsPlusNormal"/>
            </w:pPr>
          </w:p>
        </w:tc>
        <w:tc>
          <w:tcPr>
            <w:tcW w:w="7796" w:type="dxa"/>
            <w:tcBorders>
              <w:top w:val="nil"/>
              <w:bottom w:val="single" w:sz="4" w:space="0" w:color="auto"/>
            </w:tcBorders>
          </w:tcPr>
          <w:p w:rsidR="00B00F77" w:rsidRDefault="00B00F77" w:rsidP="00B00F77">
            <w:pPr>
              <w:pStyle w:val="ConsPlusNormal"/>
              <w:ind w:firstLine="283"/>
              <w:jc w:val="both"/>
            </w:pPr>
            <w:proofErr w:type="gramStart"/>
            <w:r>
              <w:t>где</w:t>
            </w:r>
            <w:proofErr w:type="gramEnd"/>
            <w:r>
              <w:t>:</w:t>
            </w:r>
          </w:p>
          <w:p w:rsidR="00B00F77" w:rsidRDefault="00B00F77" w:rsidP="00B00F77">
            <w:pPr>
              <w:pStyle w:val="ConsPlusNormal"/>
              <w:ind w:firstLine="283"/>
              <w:jc w:val="both"/>
            </w:pPr>
            <w:proofErr w:type="gramStart"/>
            <w:r>
              <w:t>a</w:t>
            </w:r>
            <w:proofErr w:type="gramEnd"/>
            <w:r>
              <w:t xml:space="preserve"> - количество ставок, занимаемых научно-педагогическими работниками с ученой степенью и (или) ученым званием (в том числе богословскими учеными степенями и званиями) и лицами, приравненными к ним, участвующими в реализации образовательной программы высшего образования, в том числе внешние совместители, а также количество ставок, эквивалентное нагрузке, осуществляемой лицами, работающими по договорам гражданско-правового характера;</w:t>
            </w:r>
          </w:p>
          <w:p w:rsidR="00B00F77" w:rsidRDefault="00B00F77" w:rsidP="00B00F77">
            <w:pPr>
              <w:pStyle w:val="ConsPlusNormal"/>
              <w:ind w:firstLine="283"/>
              <w:jc w:val="both"/>
            </w:pPr>
            <w:proofErr w:type="gramStart"/>
            <w:r>
              <w:t>b</w:t>
            </w:r>
            <w:proofErr w:type="gramEnd"/>
            <w:r>
              <w:t xml:space="preserve"> - общее количество ставок, занимаемых лицами, участвующими в реализации образовательной программы высшего образования.</w:t>
            </w:r>
          </w:p>
          <w:p w:rsidR="00B00F77" w:rsidRPr="005D0824" w:rsidRDefault="00B00F77" w:rsidP="00B00F77">
            <w:pPr>
              <w:pStyle w:val="ConsPlusNormal"/>
              <w:ind w:firstLine="283"/>
              <w:jc w:val="both"/>
              <w:rPr>
                <w:b/>
              </w:rPr>
            </w:pPr>
            <w:r w:rsidRPr="005D0824">
              <w:rPr>
                <w:b/>
              </w:rPr>
              <w:t xml:space="preserve">При расчете показателя используются сведения о научно-педагогических работниках, задействованных в реализации образовательной программы высшего образования в текущем учебном году, в котором проводится </w:t>
            </w:r>
            <w:proofErr w:type="spellStart"/>
            <w:r w:rsidRPr="005D0824">
              <w:rPr>
                <w:b/>
              </w:rPr>
              <w:t>аккредитационный</w:t>
            </w:r>
            <w:proofErr w:type="spellEnd"/>
            <w:r w:rsidRPr="005D0824">
              <w:rPr>
                <w:b/>
              </w:rPr>
              <w:t xml:space="preserve"> мониторинг, на старшем курсе, обучающемся в организации высшего образования по данной образовательной программе по очной форме обучения (при отсутствии очной - очно-заочной, при отсутствии очно-заочной - заочной).</w:t>
            </w:r>
          </w:p>
          <w:p w:rsidR="00B00F77" w:rsidRDefault="00B00F77" w:rsidP="00B00F77">
            <w:pPr>
              <w:pStyle w:val="ConsPlusNormal"/>
              <w:ind w:firstLine="283"/>
              <w:jc w:val="both"/>
            </w:pPr>
            <w:r>
              <w:lastRenderedPageBreak/>
              <w:t>Установленное при расчете показателя АП</w:t>
            </w:r>
            <w:r>
              <w:rPr>
                <w:vertAlign w:val="subscript"/>
              </w:rPr>
              <w:t>5</w:t>
            </w:r>
            <w:r>
              <w:t xml:space="preserve"> значение сопоставляется с </w:t>
            </w:r>
            <w:proofErr w:type="spellStart"/>
            <w:r>
              <w:t>критериальным</w:t>
            </w:r>
            <w:proofErr w:type="spellEnd"/>
            <w:r>
              <w:t xml:space="preserve"> значением, и определяется количество баллов по данному показателю.</w:t>
            </w:r>
          </w:p>
          <w:p w:rsidR="00B00F77" w:rsidRDefault="00B00F77" w:rsidP="00B00F77">
            <w:pPr>
              <w:pStyle w:val="ConsPlusNormal"/>
              <w:ind w:firstLine="283"/>
              <w:jc w:val="both"/>
            </w:pPr>
            <w:r>
              <w:t>Отчетный период:</w:t>
            </w:r>
          </w:p>
          <w:p w:rsidR="00B00F77" w:rsidRDefault="00B00F77" w:rsidP="00B00F77">
            <w:pPr>
              <w:pStyle w:val="ConsPlusNormal"/>
              <w:ind w:firstLine="283"/>
              <w:jc w:val="both"/>
            </w:pPr>
            <w:proofErr w:type="gramStart"/>
            <w:r>
              <w:t>информация</w:t>
            </w:r>
            <w:proofErr w:type="gramEnd"/>
            <w:r>
              <w:t xml:space="preserve"> предоставляется в соответствии с информацией, размещенной организацией высшего образования на официальном сайте в сети "Интернет", в год проведения </w:t>
            </w:r>
            <w:proofErr w:type="spellStart"/>
            <w:r>
              <w:t>аккредитационного</w:t>
            </w:r>
            <w:proofErr w:type="spellEnd"/>
            <w:r>
              <w:t xml:space="preserve"> мониторинга.</w:t>
            </w:r>
          </w:p>
          <w:p w:rsidR="00B00F77" w:rsidRDefault="00B00F77" w:rsidP="00B00F77">
            <w:pPr>
              <w:pStyle w:val="ConsPlusNormal"/>
              <w:ind w:firstLine="283"/>
              <w:jc w:val="both"/>
            </w:pPr>
            <w:r>
              <w:t>Источники данных, необходимых для расчета показателя АП</w:t>
            </w:r>
            <w:r>
              <w:rPr>
                <w:vertAlign w:val="subscript"/>
              </w:rPr>
              <w:t>5</w:t>
            </w:r>
            <w:r>
              <w:t>:</w:t>
            </w:r>
          </w:p>
          <w:p w:rsidR="00B00F77" w:rsidRDefault="00B00F77" w:rsidP="00B00F77">
            <w:pPr>
              <w:pStyle w:val="ConsPlusNormal"/>
              <w:ind w:firstLine="283"/>
              <w:jc w:val="both"/>
            </w:pPr>
            <w:r>
              <w:t>- информация, предоставленная организацией высшего образования;</w:t>
            </w:r>
          </w:p>
          <w:p w:rsidR="00B00F77" w:rsidRDefault="00B00F77" w:rsidP="00B00F77">
            <w:pPr>
              <w:pStyle w:val="ConsPlusNormal"/>
              <w:ind w:firstLine="283"/>
              <w:jc w:val="both"/>
            </w:pPr>
            <w:r>
              <w:t>- информационные системы Федеральной службы по надзору в сфере образования и науки</w:t>
            </w:r>
          </w:p>
        </w:tc>
      </w:tr>
      <w:tr w:rsidR="00B00F77" w:rsidTr="005D0824">
        <w:tc>
          <w:tcPr>
            <w:tcW w:w="542" w:type="dxa"/>
            <w:vMerge w:val="restart"/>
            <w:tcBorders>
              <w:top w:val="single" w:sz="4" w:space="0" w:color="auto"/>
              <w:bottom w:val="nil"/>
            </w:tcBorders>
          </w:tcPr>
          <w:p w:rsidR="00B00F77" w:rsidRDefault="00B00F77" w:rsidP="00B00F77">
            <w:pPr>
              <w:pStyle w:val="ConsPlusNormal"/>
              <w:jc w:val="center"/>
            </w:pPr>
            <w:r>
              <w:lastRenderedPageBreak/>
              <w:t>6</w:t>
            </w:r>
          </w:p>
        </w:tc>
        <w:tc>
          <w:tcPr>
            <w:tcW w:w="1585" w:type="dxa"/>
            <w:vMerge w:val="restart"/>
            <w:tcBorders>
              <w:top w:val="single" w:sz="4" w:space="0" w:color="auto"/>
              <w:bottom w:val="nil"/>
            </w:tcBorders>
          </w:tcPr>
          <w:p w:rsidR="00B00F77" w:rsidRDefault="00B00F77" w:rsidP="00B00F77">
            <w:pPr>
              <w:pStyle w:val="ConsPlusNormal"/>
              <w:jc w:val="both"/>
            </w:pPr>
            <w:r w:rsidRPr="009F581F">
              <w:rPr>
                <w:b/>
              </w:rPr>
              <w:t>Доля работников из числа руководителей и (или) работников организаций, деятельность которых связана с направленностью (профилем) реализуемой образовательной программы</w:t>
            </w:r>
            <w:r>
              <w:t xml:space="preserve"> (имеющих стаж работы в данной профессиональной области), в общем числе лиц, реализующих образовательную программу высшего образования, - </w:t>
            </w:r>
            <w:r w:rsidRPr="006E4A03">
              <w:rPr>
                <w:b/>
              </w:rPr>
              <w:t>АП</w:t>
            </w:r>
            <w:r w:rsidRPr="006E4A03">
              <w:rPr>
                <w:b/>
                <w:vertAlign w:val="subscript"/>
              </w:rPr>
              <w:t>6</w:t>
            </w:r>
          </w:p>
        </w:tc>
        <w:tc>
          <w:tcPr>
            <w:tcW w:w="7796" w:type="dxa"/>
            <w:tcBorders>
              <w:top w:val="single" w:sz="4" w:space="0" w:color="auto"/>
              <w:bottom w:val="nil"/>
            </w:tcBorders>
          </w:tcPr>
          <w:p w:rsidR="00B00F77" w:rsidRDefault="00B00F77" w:rsidP="00B00F77">
            <w:pPr>
              <w:pStyle w:val="ConsPlusNormal"/>
              <w:ind w:firstLine="283"/>
              <w:jc w:val="both"/>
            </w:pPr>
            <w:r>
              <w:t>Показатель АП</w:t>
            </w:r>
            <w:r>
              <w:rPr>
                <w:vertAlign w:val="subscript"/>
              </w:rPr>
              <w:t>6</w:t>
            </w:r>
            <w:r>
              <w:t xml:space="preserve"> рассчитывается как отношение количества ставок, занимаемых работниками из числа руководителей и (или) работников организаций и (или) образовательных организаций, деятельность которых связана с направленностью (профилем) реализуемой образовательной программы высшего образования (имеющих стаж работы в данной профессиональной области), участвующими в реализации учебного плана образовательной программы высшего образования, к общему количеству ставок, занимаемых работниками, участвующими в реализации образовательной программы высшего образования, умноженное на 100.</w:t>
            </w:r>
          </w:p>
          <w:p w:rsidR="00B00F77" w:rsidRDefault="00B00F77" w:rsidP="00B00F77">
            <w:pPr>
              <w:pStyle w:val="ConsPlusNormal"/>
              <w:ind w:firstLine="283"/>
              <w:jc w:val="both"/>
            </w:pPr>
            <w:r>
              <w:t>Показатель рассчитывается по формуле:</w:t>
            </w:r>
          </w:p>
        </w:tc>
      </w:tr>
      <w:tr w:rsidR="00B00F77" w:rsidTr="005D0824">
        <w:tblPrEx>
          <w:tblBorders>
            <w:insideH w:val="none" w:sz="0" w:space="0" w:color="auto"/>
          </w:tblBorders>
        </w:tblPrEx>
        <w:tc>
          <w:tcPr>
            <w:tcW w:w="542" w:type="dxa"/>
            <w:vMerge/>
            <w:tcBorders>
              <w:top w:val="single" w:sz="4" w:space="0" w:color="auto"/>
              <w:bottom w:val="nil"/>
            </w:tcBorders>
          </w:tcPr>
          <w:p w:rsidR="00B00F77" w:rsidRDefault="00B00F77" w:rsidP="00B00F77">
            <w:pPr>
              <w:pStyle w:val="ConsPlusNormal"/>
            </w:pPr>
          </w:p>
        </w:tc>
        <w:tc>
          <w:tcPr>
            <w:tcW w:w="1585" w:type="dxa"/>
            <w:vMerge/>
            <w:tcBorders>
              <w:top w:val="single" w:sz="4" w:space="0" w:color="auto"/>
              <w:bottom w:val="nil"/>
            </w:tcBorders>
          </w:tcPr>
          <w:p w:rsidR="00B00F77" w:rsidRDefault="00B00F77" w:rsidP="00B00F77">
            <w:pPr>
              <w:pStyle w:val="ConsPlusNormal"/>
            </w:pPr>
          </w:p>
        </w:tc>
        <w:tc>
          <w:tcPr>
            <w:tcW w:w="7796" w:type="dxa"/>
            <w:tcBorders>
              <w:top w:val="nil"/>
              <w:bottom w:val="nil"/>
            </w:tcBorders>
          </w:tcPr>
          <w:p w:rsidR="00B00F77" w:rsidRDefault="00B00F77" w:rsidP="00B00F77">
            <w:pPr>
              <w:pStyle w:val="ConsPlusNormal"/>
              <w:jc w:val="center"/>
            </w:pPr>
            <w:bookmarkStart w:id="0" w:name="_GoBack"/>
            <w:bookmarkEnd w:id="0"/>
            <w:r>
              <w:rPr>
                <w:noProof/>
                <w:position w:val="-22"/>
              </w:rPr>
              <w:drawing>
                <wp:inline distT="0" distB="0" distL="0" distR="0" wp14:anchorId="5CBA67DB" wp14:editId="762F1E7D">
                  <wp:extent cx="1005840" cy="42989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840" cy="429895"/>
                          </a:xfrm>
                          <a:prstGeom prst="rect">
                            <a:avLst/>
                          </a:prstGeom>
                          <a:noFill/>
                          <a:ln>
                            <a:noFill/>
                          </a:ln>
                        </pic:spPr>
                      </pic:pic>
                    </a:graphicData>
                  </a:graphic>
                </wp:inline>
              </w:drawing>
            </w:r>
            <w:r>
              <w:t>,</w:t>
            </w:r>
          </w:p>
        </w:tc>
      </w:tr>
      <w:tr w:rsidR="00B00F77" w:rsidTr="005D0824">
        <w:tblPrEx>
          <w:tblBorders>
            <w:insideH w:val="none" w:sz="0" w:space="0" w:color="auto"/>
          </w:tblBorders>
        </w:tblPrEx>
        <w:tc>
          <w:tcPr>
            <w:tcW w:w="542" w:type="dxa"/>
            <w:vMerge/>
            <w:tcBorders>
              <w:top w:val="single" w:sz="4" w:space="0" w:color="auto"/>
              <w:bottom w:val="nil"/>
            </w:tcBorders>
          </w:tcPr>
          <w:p w:rsidR="00B00F77" w:rsidRDefault="00B00F77" w:rsidP="00B00F77">
            <w:pPr>
              <w:pStyle w:val="ConsPlusNormal"/>
            </w:pPr>
          </w:p>
        </w:tc>
        <w:tc>
          <w:tcPr>
            <w:tcW w:w="1585" w:type="dxa"/>
            <w:vMerge/>
            <w:tcBorders>
              <w:top w:val="single" w:sz="4" w:space="0" w:color="auto"/>
              <w:bottom w:val="nil"/>
            </w:tcBorders>
          </w:tcPr>
          <w:p w:rsidR="00B00F77" w:rsidRDefault="00B00F77" w:rsidP="00B00F77">
            <w:pPr>
              <w:pStyle w:val="ConsPlusNormal"/>
            </w:pPr>
          </w:p>
        </w:tc>
        <w:tc>
          <w:tcPr>
            <w:tcW w:w="7796" w:type="dxa"/>
            <w:tcBorders>
              <w:top w:val="nil"/>
              <w:bottom w:val="nil"/>
            </w:tcBorders>
          </w:tcPr>
          <w:p w:rsidR="00B00F77" w:rsidRDefault="00B00F77" w:rsidP="00B00F77">
            <w:pPr>
              <w:pStyle w:val="ConsPlusNormal"/>
              <w:ind w:firstLine="283"/>
              <w:jc w:val="both"/>
            </w:pPr>
            <w:proofErr w:type="gramStart"/>
            <w:r>
              <w:t>где</w:t>
            </w:r>
            <w:proofErr w:type="gramEnd"/>
            <w:r>
              <w:t>:</w:t>
            </w:r>
          </w:p>
          <w:p w:rsidR="00B00F77" w:rsidRDefault="00B00F77" w:rsidP="00B00F77">
            <w:pPr>
              <w:pStyle w:val="ConsPlusNormal"/>
              <w:ind w:firstLine="283"/>
              <w:jc w:val="both"/>
            </w:pPr>
            <w:r>
              <w:t>a - количество ставок, занимаемых работниками из числа руководителей и (или) работников организаций высшего образования,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участвующими в реализации образовательной программы высшего образования, в том числе внешние совместили, а также количество ставок, эквивалентное нагрузке, осуществляемой лицами, работающими по договорам гражданско-правового характера;</w:t>
            </w:r>
          </w:p>
          <w:p w:rsidR="00B00F77" w:rsidRDefault="00B00F77" w:rsidP="00B00F77">
            <w:pPr>
              <w:pStyle w:val="ConsPlusNormal"/>
              <w:ind w:firstLine="283"/>
              <w:jc w:val="both"/>
            </w:pPr>
            <w:proofErr w:type="gramStart"/>
            <w:r>
              <w:t>b</w:t>
            </w:r>
            <w:proofErr w:type="gramEnd"/>
            <w:r>
              <w:t xml:space="preserve"> - общее количество ставок, занимаемых лицами, участвующими в реализации образовательной программы высшего образования.</w:t>
            </w:r>
          </w:p>
          <w:p w:rsidR="00B00F77" w:rsidRDefault="00B00F77" w:rsidP="00B00F77">
            <w:pPr>
              <w:pStyle w:val="ConsPlusNormal"/>
              <w:ind w:firstLine="283"/>
              <w:jc w:val="both"/>
            </w:pPr>
            <w:r>
              <w:t xml:space="preserve">При расчете показателя используются сведения о работниках, задействованных в реализации образовательной программы в текущем учебном году, в котором проводится </w:t>
            </w:r>
            <w:proofErr w:type="spellStart"/>
            <w:r>
              <w:t>аккредитационный</w:t>
            </w:r>
            <w:proofErr w:type="spellEnd"/>
            <w:r>
              <w:t xml:space="preserve"> мониторинг, на старшем курсе, обучающемся в организации по данной программе по очной форме обучения (при отсутствии очной - очно-заочной, при отсутствии очно-заочной - заочной).</w:t>
            </w:r>
          </w:p>
        </w:tc>
      </w:tr>
      <w:tr w:rsidR="00B00F77" w:rsidTr="005D0824">
        <w:tblPrEx>
          <w:tblBorders>
            <w:insideH w:val="none" w:sz="0" w:space="0" w:color="auto"/>
          </w:tblBorders>
        </w:tblPrEx>
        <w:tc>
          <w:tcPr>
            <w:tcW w:w="542" w:type="dxa"/>
            <w:tcBorders>
              <w:top w:val="nil"/>
              <w:bottom w:val="single" w:sz="4" w:space="0" w:color="auto"/>
            </w:tcBorders>
          </w:tcPr>
          <w:p w:rsidR="00B00F77" w:rsidRDefault="00B00F77" w:rsidP="00B00F77">
            <w:pPr>
              <w:pStyle w:val="ConsPlusNormal"/>
            </w:pPr>
          </w:p>
        </w:tc>
        <w:tc>
          <w:tcPr>
            <w:tcW w:w="1585" w:type="dxa"/>
            <w:tcBorders>
              <w:top w:val="nil"/>
              <w:bottom w:val="single" w:sz="4" w:space="0" w:color="auto"/>
            </w:tcBorders>
          </w:tcPr>
          <w:p w:rsidR="00B00F77" w:rsidRDefault="00B00F77" w:rsidP="00B00F77">
            <w:pPr>
              <w:pStyle w:val="ConsPlusNormal"/>
            </w:pPr>
          </w:p>
        </w:tc>
        <w:tc>
          <w:tcPr>
            <w:tcW w:w="7796" w:type="dxa"/>
            <w:tcBorders>
              <w:top w:val="nil"/>
              <w:bottom w:val="single" w:sz="4" w:space="0" w:color="auto"/>
            </w:tcBorders>
          </w:tcPr>
          <w:p w:rsidR="00B00F77" w:rsidRDefault="00B00F77" w:rsidP="00B00F77">
            <w:pPr>
              <w:pStyle w:val="ConsPlusNormal"/>
              <w:ind w:firstLine="283"/>
              <w:jc w:val="both"/>
            </w:pPr>
            <w:r>
              <w:t>Установленное при расчете показателя АП</w:t>
            </w:r>
            <w:r>
              <w:rPr>
                <w:vertAlign w:val="subscript"/>
              </w:rPr>
              <w:t>6</w:t>
            </w:r>
            <w:r>
              <w:t xml:space="preserve"> значение сопоставляется с </w:t>
            </w:r>
            <w:proofErr w:type="spellStart"/>
            <w:r>
              <w:t>критериальным</w:t>
            </w:r>
            <w:proofErr w:type="spellEnd"/>
            <w:r>
              <w:t xml:space="preserve"> значением, и определяется количество баллов по данному показателю.</w:t>
            </w:r>
          </w:p>
          <w:p w:rsidR="00B00F77" w:rsidRDefault="00B00F77" w:rsidP="00B00F77">
            <w:pPr>
              <w:pStyle w:val="ConsPlusNormal"/>
              <w:ind w:firstLine="283"/>
              <w:jc w:val="both"/>
            </w:pPr>
            <w:r>
              <w:t>Отчетный период:</w:t>
            </w:r>
          </w:p>
          <w:p w:rsidR="00B00F77" w:rsidRDefault="00B00F77" w:rsidP="00B00F77">
            <w:pPr>
              <w:pStyle w:val="ConsPlusNormal"/>
              <w:ind w:firstLine="283"/>
              <w:jc w:val="both"/>
            </w:pPr>
            <w:proofErr w:type="gramStart"/>
            <w:r>
              <w:t>информация</w:t>
            </w:r>
            <w:proofErr w:type="gramEnd"/>
            <w:r>
              <w:t xml:space="preserve"> предоставляется в соответствии с информацией, размещенной организацией высшего образования на официальном сайте в сети "Интернет", в год проведения </w:t>
            </w:r>
            <w:proofErr w:type="spellStart"/>
            <w:r>
              <w:t>аккредитационного</w:t>
            </w:r>
            <w:proofErr w:type="spellEnd"/>
            <w:r>
              <w:t xml:space="preserve"> мониторинга.</w:t>
            </w:r>
          </w:p>
          <w:p w:rsidR="00B00F77" w:rsidRDefault="00B00F77" w:rsidP="00B00F77">
            <w:pPr>
              <w:pStyle w:val="ConsPlusNormal"/>
              <w:ind w:firstLine="283"/>
              <w:jc w:val="both"/>
            </w:pPr>
            <w:r>
              <w:t>Источники данных, необходимых для расчета показателя АП</w:t>
            </w:r>
            <w:r>
              <w:rPr>
                <w:vertAlign w:val="subscript"/>
              </w:rPr>
              <w:t>6</w:t>
            </w:r>
            <w:r>
              <w:t>:</w:t>
            </w:r>
          </w:p>
          <w:p w:rsidR="00B00F77" w:rsidRDefault="00B00F77" w:rsidP="00B00F77">
            <w:pPr>
              <w:pStyle w:val="ConsPlusNormal"/>
              <w:ind w:firstLine="283"/>
              <w:jc w:val="both"/>
            </w:pPr>
            <w:r>
              <w:t>- информация, предоставленная организацией высшего образования;</w:t>
            </w:r>
          </w:p>
          <w:p w:rsidR="00B00F77" w:rsidRDefault="00B00F77" w:rsidP="00B00F77">
            <w:pPr>
              <w:pStyle w:val="ConsPlusNormal"/>
              <w:ind w:firstLine="283"/>
              <w:jc w:val="both"/>
            </w:pPr>
            <w:r>
              <w:t>- информационные системы Федеральной службы по надзору в сфере образования и науки</w:t>
            </w:r>
          </w:p>
        </w:tc>
      </w:tr>
    </w:tbl>
    <w:p w:rsidR="001F70F6" w:rsidRDefault="001F70F6" w:rsidP="001F70F6">
      <w:pPr>
        <w:pStyle w:val="ConsPlusNormal"/>
        <w:jc w:val="both"/>
      </w:pPr>
    </w:p>
    <w:sectPr w:rsidR="001F70F6" w:rsidSect="006A742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121297"/>
    <w:multiLevelType w:val="hybridMultilevel"/>
    <w:tmpl w:val="E266F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6E"/>
    <w:rsid w:val="00007061"/>
    <w:rsid w:val="00007BC0"/>
    <w:rsid w:val="00023EB9"/>
    <w:rsid w:val="000323A8"/>
    <w:rsid w:val="00041190"/>
    <w:rsid w:val="00045139"/>
    <w:rsid w:val="000564F4"/>
    <w:rsid w:val="00057E5F"/>
    <w:rsid w:val="00062C0D"/>
    <w:rsid w:val="00076035"/>
    <w:rsid w:val="0008768A"/>
    <w:rsid w:val="0009157E"/>
    <w:rsid w:val="00092F4C"/>
    <w:rsid w:val="00093130"/>
    <w:rsid w:val="0009565F"/>
    <w:rsid w:val="000A375A"/>
    <w:rsid w:val="000B4A23"/>
    <w:rsid w:val="000D1597"/>
    <w:rsid w:val="000D3212"/>
    <w:rsid w:val="000E4C08"/>
    <w:rsid w:val="000E62F4"/>
    <w:rsid w:val="000F3005"/>
    <w:rsid w:val="00100413"/>
    <w:rsid w:val="00122317"/>
    <w:rsid w:val="00123115"/>
    <w:rsid w:val="00124E9E"/>
    <w:rsid w:val="00133B28"/>
    <w:rsid w:val="00171DBD"/>
    <w:rsid w:val="0018452C"/>
    <w:rsid w:val="001B63F4"/>
    <w:rsid w:val="001C58CD"/>
    <w:rsid w:val="001D5882"/>
    <w:rsid w:val="001E55D1"/>
    <w:rsid w:val="001F039C"/>
    <w:rsid w:val="001F70F6"/>
    <w:rsid w:val="00201D6F"/>
    <w:rsid w:val="002143C7"/>
    <w:rsid w:val="00215DED"/>
    <w:rsid w:val="00220AD8"/>
    <w:rsid w:val="00222A31"/>
    <w:rsid w:val="002412D0"/>
    <w:rsid w:val="0024509D"/>
    <w:rsid w:val="00251605"/>
    <w:rsid w:val="00254F76"/>
    <w:rsid w:val="00287339"/>
    <w:rsid w:val="002A0CA9"/>
    <w:rsid w:val="002B21F1"/>
    <w:rsid w:val="002B77BC"/>
    <w:rsid w:val="002B7A80"/>
    <w:rsid w:val="002D399C"/>
    <w:rsid w:val="002D581B"/>
    <w:rsid w:val="002D5AEB"/>
    <w:rsid w:val="002F061A"/>
    <w:rsid w:val="0031672C"/>
    <w:rsid w:val="00321E71"/>
    <w:rsid w:val="003251F5"/>
    <w:rsid w:val="003270A1"/>
    <w:rsid w:val="00334BAF"/>
    <w:rsid w:val="0034358F"/>
    <w:rsid w:val="00343780"/>
    <w:rsid w:val="00343DFC"/>
    <w:rsid w:val="003576B7"/>
    <w:rsid w:val="00360891"/>
    <w:rsid w:val="00360C45"/>
    <w:rsid w:val="00371AD6"/>
    <w:rsid w:val="00381CC7"/>
    <w:rsid w:val="00390454"/>
    <w:rsid w:val="003B1B06"/>
    <w:rsid w:val="003C0903"/>
    <w:rsid w:val="003E2EFC"/>
    <w:rsid w:val="003E31F4"/>
    <w:rsid w:val="003E7399"/>
    <w:rsid w:val="003E73BF"/>
    <w:rsid w:val="003F2191"/>
    <w:rsid w:val="003F6BD5"/>
    <w:rsid w:val="00404A48"/>
    <w:rsid w:val="00404B36"/>
    <w:rsid w:val="00433003"/>
    <w:rsid w:val="00436EF4"/>
    <w:rsid w:val="004444BC"/>
    <w:rsid w:val="004523A5"/>
    <w:rsid w:val="00455C87"/>
    <w:rsid w:val="00467B07"/>
    <w:rsid w:val="00467E69"/>
    <w:rsid w:val="004928C9"/>
    <w:rsid w:val="004A2A57"/>
    <w:rsid w:val="004A3AF5"/>
    <w:rsid w:val="004B70AC"/>
    <w:rsid w:val="004C2AF5"/>
    <w:rsid w:val="004C4788"/>
    <w:rsid w:val="004E76E6"/>
    <w:rsid w:val="004F5528"/>
    <w:rsid w:val="005006E1"/>
    <w:rsid w:val="005035C4"/>
    <w:rsid w:val="00517741"/>
    <w:rsid w:val="00525B44"/>
    <w:rsid w:val="00535827"/>
    <w:rsid w:val="00537F9C"/>
    <w:rsid w:val="00552724"/>
    <w:rsid w:val="00552871"/>
    <w:rsid w:val="00560E06"/>
    <w:rsid w:val="0057362B"/>
    <w:rsid w:val="00582ECA"/>
    <w:rsid w:val="00585A73"/>
    <w:rsid w:val="00590ECD"/>
    <w:rsid w:val="005945F0"/>
    <w:rsid w:val="00594D44"/>
    <w:rsid w:val="005A4084"/>
    <w:rsid w:val="005A4606"/>
    <w:rsid w:val="005A642C"/>
    <w:rsid w:val="005A7E05"/>
    <w:rsid w:val="005B5E08"/>
    <w:rsid w:val="005C73FF"/>
    <w:rsid w:val="005D0824"/>
    <w:rsid w:val="005D6C1B"/>
    <w:rsid w:val="005F69D9"/>
    <w:rsid w:val="00600179"/>
    <w:rsid w:val="00616176"/>
    <w:rsid w:val="0062630D"/>
    <w:rsid w:val="00642BEF"/>
    <w:rsid w:val="00661EB6"/>
    <w:rsid w:val="00674145"/>
    <w:rsid w:val="00675519"/>
    <w:rsid w:val="00685512"/>
    <w:rsid w:val="006A742C"/>
    <w:rsid w:val="006D5054"/>
    <w:rsid w:val="006E4A03"/>
    <w:rsid w:val="0070293D"/>
    <w:rsid w:val="00707721"/>
    <w:rsid w:val="00713872"/>
    <w:rsid w:val="0071405E"/>
    <w:rsid w:val="007357E4"/>
    <w:rsid w:val="0074406E"/>
    <w:rsid w:val="007578FD"/>
    <w:rsid w:val="007622DD"/>
    <w:rsid w:val="0076261C"/>
    <w:rsid w:val="00766E97"/>
    <w:rsid w:val="007747F6"/>
    <w:rsid w:val="007750CF"/>
    <w:rsid w:val="00775FB8"/>
    <w:rsid w:val="00782391"/>
    <w:rsid w:val="00787877"/>
    <w:rsid w:val="007964E3"/>
    <w:rsid w:val="00796853"/>
    <w:rsid w:val="0079731A"/>
    <w:rsid w:val="007A7D34"/>
    <w:rsid w:val="007B0580"/>
    <w:rsid w:val="007C67F9"/>
    <w:rsid w:val="007D69DC"/>
    <w:rsid w:val="00801DB1"/>
    <w:rsid w:val="008028DF"/>
    <w:rsid w:val="008130C2"/>
    <w:rsid w:val="00837BDA"/>
    <w:rsid w:val="00847EAC"/>
    <w:rsid w:val="00854F8C"/>
    <w:rsid w:val="0087434F"/>
    <w:rsid w:val="008844B6"/>
    <w:rsid w:val="00896A5A"/>
    <w:rsid w:val="008C67B7"/>
    <w:rsid w:val="008D0F1A"/>
    <w:rsid w:val="008F1AEB"/>
    <w:rsid w:val="008F49F2"/>
    <w:rsid w:val="008F4FA2"/>
    <w:rsid w:val="00901EE1"/>
    <w:rsid w:val="009025A3"/>
    <w:rsid w:val="00904FD7"/>
    <w:rsid w:val="00921D8E"/>
    <w:rsid w:val="0092522F"/>
    <w:rsid w:val="0095191F"/>
    <w:rsid w:val="00951E1D"/>
    <w:rsid w:val="00961EE1"/>
    <w:rsid w:val="00975DFC"/>
    <w:rsid w:val="009B3182"/>
    <w:rsid w:val="009C0EF7"/>
    <w:rsid w:val="009C5D7B"/>
    <w:rsid w:val="009E073D"/>
    <w:rsid w:val="009F581F"/>
    <w:rsid w:val="00A14CBE"/>
    <w:rsid w:val="00A24625"/>
    <w:rsid w:val="00A30B35"/>
    <w:rsid w:val="00A32FD7"/>
    <w:rsid w:val="00A5016D"/>
    <w:rsid w:val="00A54896"/>
    <w:rsid w:val="00A6692C"/>
    <w:rsid w:val="00A74EDB"/>
    <w:rsid w:val="00A766BB"/>
    <w:rsid w:val="00A823D4"/>
    <w:rsid w:val="00AA1F57"/>
    <w:rsid w:val="00AA7E65"/>
    <w:rsid w:val="00AA7F8E"/>
    <w:rsid w:val="00AB071F"/>
    <w:rsid w:val="00AB1D8D"/>
    <w:rsid w:val="00AB7E23"/>
    <w:rsid w:val="00AC0F87"/>
    <w:rsid w:val="00AD39EC"/>
    <w:rsid w:val="00AE6F5D"/>
    <w:rsid w:val="00B003B2"/>
    <w:rsid w:val="00B00F77"/>
    <w:rsid w:val="00B01953"/>
    <w:rsid w:val="00B0293A"/>
    <w:rsid w:val="00B12A61"/>
    <w:rsid w:val="00B17F0F"/>
    <w:rsid w:val="00B26A05"/>
    <w:rsid w:val="00B27F09"/>
    <w:rsid w:val="00B3197C"/>
    <w:rsid w:val="00B323C3"/>
    <w:rsid w:val="00B35FCC"/>
    <w:rsid w:val="00B3761E"/>
    <w:rsid w:val="00B41E31"/>
    <w:rsid w:val="00B424D6"/>
    <w:rsid w:val="00B51375"/>
    <w:rsid w:val="00B60ABA"/>
    <w:rsid w:val="00B62A40"/>
    <w:rsid w:val="00B63206"/>
    <w:rsid w:val="00B70600"/>
    <w:rsid w:val="00B718A7"/>
    <w:rsid w:val="00B80D63"/>
    <w:rsid w:val="00B81E60"/>
    <w:rsid w:val="00B97A00"/>
    <w:rsid w:val="00BA4ACC"/>
    <w:rsid w:val="00BA7FF2"/>
    <w:rsid w:val="00BB52AA"/>
    <w:rsid w:val="00BB66E3"/>
    <w:rsid w:val="00BE00C5"/>
    <w:rsid w:val="00BE3E3E"/>
    <w:rsid w:val="00BE6F69"/>
    <w:rsid w:val="00BF4006"/>
    <w:rsid w:val="00BF4444"/>
    <w:rsid w:val="00BF7E8E"/>
    <w:rsid w:val="00C0519F"/>
    <w:rsid w:val="00C15EF2"/>
    <w:rsid w:val="00C169BD"/>
    <w:rsid w:val="00C3462F"/>
    <w:rsid w:val="00C37F16"/>
    <w:rsid w:val="00C5130C"/>
    <w:rsid w:val="00C55F93"/>
    <w:rsid w:val="00C60E3F"/>
    <w:rsid w:val="00C64E92"/>
    <w:rsid w:val="00C71CBB"/>
    <w:rsid w:val="00C806B0"/>
    <w:rsid w:val="00C840AA"/>
    <w:rsid w:val="00C846F7"/>
    <w:rsid w:val="00C9406F"/>
    <w:rsid w:val="00CA55ED"/>
    <w:rsid w:val="00CB02F5"/>
    <w:rsid w:val="00CC4265"/>
    <w:rsid w:val="00CD2BF5"/>
    <w:rsid w:val="00CD2CBB"/>
    <w:rsid w:val="00CE41E7"/>
    <w:rsid w:val="00CF18DC"/>
    <w:rsid w:val="00D03333"/>
    <w:rsid w:val="00D12D2F"/>
    <w:rsid w:val="00D27339"/>
    <w:rsid w:val="00D3630C"/>
    <w:rsid w:val="00D61164"/>
    <w:rsid w:val="00D725DB"/>
    <w:rsid w:val="00D74A5D"/>
    <w:rsid w:val="00D9393B"/>
    <w:rsid w:val="00DA4BD8"/>
    <w:rsid w:val="00DA53E2"/>
    <w:rsid w:val="00DB659B"/>
    <w:rsid w:val="00DC303E"/>
    <w:rsid w:val="00DC3369"/>
    <w:rsid w:val="00DE1260"/>
    <w:rsid w:val="00DE532E"/>
    <w:rsid w:val="00DE561E"/>
    <w:rsid w:val="00DE6611"/>
    <w:rsid w:val="00DF0D71"/>
    <w:rsid w:val="00DF6336"/>
    <w:rsid w:val="00DF6715"/>
    <w:rsid w:val="00E01911"/>
    <w:rsid w:val="00E36404"/>
    <w:rsid w:val="00E42471"/>
    <w:rsid w:val="00E52E9B"/>
    <w:rsid w:val="00E5443A"/>
    <w:rsid w:val="00E57F30"/>
    <w:rsid w:val="00E65CE0"/>
    <w:rsid w:val="00E74CEF"/>
    <w:rsid w:val="00E9354C"/>
    <w:rsid w:val="00E9525F"/>
    <w:rsid w:val="00E979C3"/>
    <w:rsid w:val="00EE11EB"/>
    <w:rsid w:val="00EE2E6C"/>
    <w:rsid w:val="00EE3300"/>
    <w:rsid w:val="00EF0C77"/>
    <w:rsid w:val="00EF6F35"/>
    <w:rsid w:val="00F15197"/>
    <w:rsid w:val="00F1640B"/>
    <w:rsid w:val="00F235D0"/>
    <w:rsid w:val="00F329F3"/>
    <w:rsid w:val="00F34208"/>
    <w:rsid w:val="00F36A0B"/>
    <w:rsid w:val="00F405A1"/>
    <w:rsid w:val="00F56CD5"/>
    <w:rsid w:val="00F611B1"/>
    <w:rsid w:val="00F6568F"/>
    <w:rsid w:val="00FA748B"/>
    <w:rsid w:val="00FC2160"/>
    <w:rsid w:val="00FC74AB"/>
    <w:rsid w:val="00FE74EC"/>
    <w:rsid w:val="00FF7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E4C75-9945-4A73-9F66-4972266FA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E71"/>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E71"/>
    <w:pPr>
      <w:widowControl w:val="0"/>
      <w:autoSpaceDE w:val="0"/>
      <w:autoSpaceDN w:val="0"/>
      <w:spacing w:after="0" w:line="240" w:lineRule="auto"/>
    </w:pPr>
    <w:rPr>
      <w:rFonts w:ascii="Calibri" w:eastAsia="Times New Roman" w:hAnsi="Calibri" w:cs="Calibri"/>
      <w:szCs w:val="20"/>
      <w:lang w:eastAsia="ru-RU"/>
    </w:rPr>
  </w:style>
  <w:style w:type="character" w:styleId="a3">
    <w:name w:val="Strong"/>
    <w:uiPriority w:val="22"/>
    <w:qFormat/>
    <w:rsid w:val="00321E71"/>
    <w:rPr>
      <w:b/>
      <w:bCs/>
    </w:rPr>
  </w:style>
  <w:style w:type="paragraph" w:customStyle="1" w:styleId="ConsPlusTitle">
    <w:name w:val="ConsPlusTitle"/>
    <w:rsid w:val="00E4247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73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Агафонова</dc:creator>
  <cp:keywords/>
  <dc:description/>
  <cp:lastModifiedBy>Светлана В. Агафонова</cp:lastModifiedBy>
  <cp:revision>12</cp:revision>
  <dcterms:created xsi:type="dcterms:W3CDTF">2023-06-16T13:37:00Z</dcterms:created>
  <dcterms:modified xsi:type="dcterms:W3CDTF">2023-06-26T08:17:00Z</dcterms:modified>
</cp:coreProperties>
</file>